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76" w:rsidRPr="00790660" w:rsidRDefault="00212F76" w:rsidP="0002427A">
      <w:pPr>
        <w:pStyle w:val="NoSpacing"/>
      </w:pPr>
      <w:bookmarkStart w:id="0" w:name="_GoBack"/>
      <w:bookmarkEnd w:id="0"/>
    </w:p>
    <w:p w:rsidR="00212F76" w:rsidRPr="00790660" w:rsidRDefault="00212F76" w:rsidP="00FA543F">
      <w:pPr>
        <w:pStyle w:val="Title"/>
      </w:pPr>
    </w:p>
    <w:p w:rsidR="0031660E" w:rsidRPr="0031660E" w:rsidRDefault="0031660E" w:rsidP="0031660E"/>
    <w:p w:rsidR="00D97D1D" w:rsidRPr="00A1545D" w:rsidRDefault="00A1545D" w:rsidP="00A1545D">
      <w:pPr>
        <w:pStyle w:val="Title"/>
        <w:spacing w:after="0"/>
        <w:rPr>
          <w:sz w:val="36"/>
          <w:szCs w:val="36"/>
        </w:rPr>
      </w:pPr>
      <w:r w:rsidRPr="00A1545D">
        <w:rPr>
          <w:sz w:val="36"/>
          <w:szCs w:val="36"/>
        </w:rPr>
        <w:t>Report of Forensic Review</w:t>
      </w:r>
    </w:p>
    <w:p w:rsidR="00B24530" w:rsidRPr="00B24530" w:rsidRDefault="00B24530" w:rsidP="00B24530">
      <w:pPr>
        <w:rPr>
          <w:sz w:val="36"/>
          <w:szCs w:val="36"/>
        </w:rPr>
      </w:pPr>
    </w:p>
    <w:p w:rsidR="00D97D1D" w:rsidRDefault="00B24530" w:rsidP="00D97D1D">
      <w:pPr>
        <w:pStyle w:val="Title"/>
        <w:spacing w:after="0"/>
        <w:rPr>
          <w:sz w:val="36"/>
          <w:szCs w:val="36"/>
        </w:rPr>
      </w:pPr>
      <w:r>
        <w:rPr>
          <w:sz w:val="36"/>
          <w:szCs w:val="36"/>
        </w:rPr>
        <w:t>Prepared For</w:t>
      </w:r>
      <w:r w:rsidR="005309E7">
        <w:rPr>
          <w:sz w:val="36"/>
          <w:szCs w:val="36"/>
        </w:rPr>
        <w:t xml:space="preserve"> The</w:t>
      </w:r>
    </w:p>
    <w:p w:rsidR="00B24530" w:rsidRPr="00B24530" w:rsidRDefault="00B24530" w:rsidP="00B24530">
      <w:pPr>
        <w:rPr>
          <w:sz w:val="36"/>
          <w:szCs w:val="36"/>
        </w:rPr>
      </w:pPr>
    </w:p>
    <w:p w:rsidR="00B24530" w:rsidRDefault="00BD0F1B" w:rsidP="00B24530">
      <w:pPr>
        <w:jc w:val="center"/>
        <w:rPr>
          <w:b/>
          <w:smallCaps/>
          <w:sz w:val="36"/>
          <w:szCs w:val="36"/>
        </w:rPr>
      </w:pPr>
      <w:r>
        <w:rPr>
          <w:b/>
          <w:smallCaps/>
          <w:sz w:val="36"/>
          <w:szCs w:val="36"/>
        </w:rPr>
        <w:t>Howard County Public School System</w:t>
      </w:r>
    </w:p>
    <w:p w:rsidR="00B24530" w:rsidRDefault="004311CA" w:rsidP="00B24530">
      <w:pPr>
        <w:jc w:val="center"/>
        <w:rPr>
          <w:rFonts w:ascii="Times New Roman" w:eastAsia="Times New Roman" w:hAnsi="Times New Roman" w:cs="Times New Roman"/>
          <w:b/>
          <w:caps/>
          <w:spacing w:val="-10"/>
          <w:kern w:val="28"/>
          <w:sz w:val="40"/>
          <w:szCs w:val="40"/>
        </w:rPr>
      </w:pPr>
      <w:r>
        <w:rPr>
          <w:rFonts w:ascii="Times New Roman" w:eastAsia="Times New Roman" w:hAnsi="Times New Roman" w:cs="Times New Roman"/>
          <w:b/>
          <w:caps/>
          <w:spacing w:val="-10"/>
          <w:kern w:val="28"/>
          <w:sz w:val="40"/>
          <w:szCs w:val="40"/>
        </w:rPr>
        <w:pict w14:anchorId="68572BFB">
          <v:rect id="_x0000_i1025" style="width:0;height:1.5pt" o:hralign="center" o:hrstd="t" o:hr="t" fillcolor="#a0a0a0" stroked="f"/>
        </w:pict>
      </w:r>
    </w:p>
    <w:p w:rsidR="00B24530" w:rsidRDefault="00B24530" w:rsidP="00B24530">
      <w:pPr>
        <w:jc w:val="center"/>
        <w:rPr>
          <w:rFonts w:ascii="Times New Roman" w:eastAsia="Times New Roman" w:hAnsi="Times New Roman" w:cs="Times New Roman"/>
          <w:b/>
          <w:caps/>
          <w:spacing w:val="-10"/>
          <w:kern w:val="28"/>
          <w:sz w:val="40"/>
          <w:szCs w:val="40"/>
        </w:rPr>
      </w:pPr>
    </w:p>
    <w:p w:rsidR="00B24530" w:rsidRPr="00B24530" w:rsidRDefault="00435897" w:rsidP="00B24530">
      <w:pPr>
        <w:pStyle w:val="Title"/>
        <w:spacing w:after="0"/>
        <w:rPr>
          <w:sz w:val="36"/>
          <w:szCs w:val="36"/>
        </w:rPr>
      </w:pPr>
      <w:r>
        <w:rPr>
          <w:sz w:val="36"/>
          <w:szCs w:val="36"/>
        </w:rPr>
        <w:t xml:space="preserve">March </w:t>
      </w:r>
      <w:r w:rsidR="005309E7">
        <w:rPr>
          <w:sz w:val="36"/>
          <w:szCs w:val="36"/>
        </w:rPr>
        <w:t>14,</w:t>
      </w:r>
      <w:r>
        <w:rPr>
          <w:sz w:val="36"/>
          <w:szCs w:val="36"/>
        </w:rPr>
        <w:t xml:space="preserve"> 2019</w:t>
      </w:r>
    </w:p>
    <w:p w:rsidR="00B24530" w:rsidRPr="00B24530" w:rsidRDefault="00B24530" w:rsidP="00B24530">
      <w:pPr>
        <w:rPr>
          <w:sz w:val="36"/>
          <w:szCs w:val="36"/>
        </w:rPr>
      </w:pPr>
    </w:p>
    <w:p w:rsidR="00B24530" w:rsidRPr="00B24530" w:rsidRDefault="00B24530" w:rsidP="00B24530">
      <w:pPr>
        <w:pStyle w:val="Title"/>
        <w:spacing w:after="0"/>
        <w:rPr>
          <w:sz w:val="36"/>
          <w:szCs w:val="36"/>
        </w:rPr>
      </w:pPr>
      <w:r>
        <w:rPr>
          <w:sz w:val="36"/>
          <w:szCs w:val="36"/>
        </w:rPr>
        <w:t>Prepared by:</w:t>
      </w:r>
    </w:p>
    <w:p w:rsidR="00B24530" w:rsidRDefault="00545E76" w:rsidP="00B24530">
      <w:pPr>
        <w:jc w:val="center"/>
        <w:rPr>
          <w:b/>
          <w:smallCaps/>
          <w:sz w:val="36"/>
          <w:szCs w:val="36"/>
        </w:rPr>
      </w:pPr>
      <w:r>
        <w:rPr>
          <w:b/>
          <w:smallCaps/>
          <w:sz w:val="36"/>
          <w:szCs w:val="36"/>
        </w:rPr>
        <w:t>Baker</w:t>
      </w:r>
      <w:r w:rsidR="00B24530">
        <w:rPr>
          <w:b/>
          <w:smallCaps/>
          <w:sz w:val="36"/>
          <w:szCs w:val="36"/>
        </w:rPr>
        <w:t xml:space="preserve"> </w:t>
      </w:r>
      <w:r>
        <w:rPr>
          <w:b/>
          <w:smallCaps/>
          <w:sz w:val="36"/>
          <w:szCs w:val="36"/>
        </w:rPr>
        <w:t>Tilly</w:t>
      </w:r>
      <w:r w:rsidR="00B24530">
        <w:rPr>
          <w:b/>
          <w:smallCaps/>
          <w:sz w:val="36"/>
          <w:szCs w:val="36"/>
        </w:rPr>
        <w:t xml:space="preserve"> Virchow Krause, LLP</w:t>
      </w:r>
    </w:p>
    <w:p w:rsidR="00B24530" w:rsidRPr="00B24530" w:rsidRDefault="00B24530" w:rsidP="00B24530">
      <w:pPr>
        <w:jc w:val="center"/>
        <w:rPr>
          <w:b/>
          <w:smallCaps/>
          <w:sz w:val="36"/>
          <w:szCs w:val="36"/>
        </w:rPr>
      </w:pPr>
    </w:p>
    <w:p w:rsidR="00B24530" w:rsidRDefault="00B24530" w:rsidP="00AE0FCB">
      <w:pPr>
        <w:pStyle w:val="NoSpacing"/>
      </w:pPr>
    </w:p>
    <w:p w:rsidR="00B24530" w:rsidRDefault="00B24530" w:rsidP="00AE0FCB">
      <w:pPr>
        <w:pStyle w:val="NoSpacing"/>
      </w:pPr>
    </w:p>
    <w:p w:rsidR="00B24530" w:rsidRDefault="00B24530" w:rsidP="00AE0FCB">
      <w:pPr>
        <w:pStyle w:val="NoSpacing"/>
      </w:pPr>
    </w:p>
    <w:p w:rsidR="00B24530" w:rsidRDefault="00B24530" w:rsidP="00AE0FCB">
      <w:pPr>
        <w:pStyle w:val="NoSpacing"/>
      </w:pPr>
    </w:p>
    <w:p w:rsidR="00B24530" w:rsidRDefault="00B24530" w:rsidP="00AE0FCB">
      <w:pPr>
        <w:pStyle w:val="NoSpacing"/>
      </w:pPr>
    </w:p>
    <w:p w:rsidR="00B24530" w:rsidRDefault="00B24530" w:rsidP="00AE0FCB">
      <w:pPr>
        <w:pStyle w:val="NoSpacing"/>
      </w:pPr>
    </w:p>
    <w:p w:rsidR="007263E8" w:rsidRDefault="007263E8" w:rsidP="007263E8">
      <w:pPr>
        <w:pStyle w:val="Title"/>
        <w:spacing w:after="0"/>
        <w:rPr>
          <w:sz w:val="36"/>
          <w:szCs w:val="36"/>
        </w:rPr>
      </w:pPr>
    </w:p>
    <w:p w:rsidR="00B24530" w:rsidRPr="007263E8" w:rsidRDefault="007263E8" w:rsidP="007263E8">
      <w:pPr>
        <w:pStyle w:val="Title"/>
        <w:spacing w:after="0"/>
        <w:rPr>
          <w:sz w:val="36"/>
          <w:szCs w:val="36"/>
        </w:rPr>
      </w:pPr>
      <w:r>
        <w:rPr>
          <w:sz w:val="36"/>
          <w:szCs w:val="36"/>
        </w:rPr>
        <w:t>CONFIDENTIAL</w:t>
      </w:r>
    </w:p>
    <w:p w:rsidR="00B24530" w:rsidRDefault="00B24530" w:rsidP="00AE0FCB">
      <w:pPr>
        <w:pStyle w:val="NoSpacing"/>
      </w:pPr>
    </w:p>
    <w:p w:rsidR="00B24530" w:rsidRDefault="00B24530" w:rsidP="00AE0FCB">
      <w:pPr>
        <w:pStyle w:val="NoSpacing"/>
      </w:pPr>
    </w:p>
    <w:p w:rsidR="00B24530" w:rsidRDefault="00B24530" w:rsidP="00AE0FCB">
      <w:pPr>
        <w:pStyle w:val="NoSpacing"/>
      </w:pPr>
    </w:p>
    <w:p w:rsidR="00B24530" w:rsidRDefault="00B24530" w:rsidP="00AE0FCB">
      <w:pPr>
        <w:pStyle w:val="NoSpacing"/>
      </w:pPr>
    </w:p>
    <w:p w:rsidR="00B24530" w:rsidRDefault="00B24530" w:rsidP="00AE0FCB">
      <w:pPr>
        <w:pStyle w:val="NoSpacing"/>
      </w:pPr>
    </w:p>
    <w:p w:rsidR="00B24530" w:rsidRDefault="00B24530" w:rsidP="00AE0FCB">
      <w:pPr>
        <w:pStyle w:val="NoSpacing"/>
      </w:pPr>
    </w:p>
    <w:p w:rsidR="00B24530" w:rsidRDefault="00B24530" w:rsidP="00AE0FCB">
      <w:pPr>
        <w:pStyle w:val="NoSpacing"/>
      </w:pPr>
    </w:p>
    <w:p w:rsidR="00B24530" w:rsidRDefault="00B24530" w:rsidP="00AE0FCB">
      <w:pPr>
        <w:pStyle w:val="NoSpacing"/>
      </w:pPr>
    </w:p>
    <w:p w:rsidR="00B24530" w:rsidRDefault="00B24530" w:rsidP="00AE0FCB">
      <w:pPr>
        <w:pStyle w:val="NoSpacing"/>
      </w:pPr>
    </w:p>
    <w:p w:rsidR="00B24530" w:rsidRDefault="00B24530" w:rsidP="00AE0FCB">
      <w:pPr>
        <w:pStyle w:val="NoSpacing"/>
      </w:pPr>
    </w:p>
    <w:p w:rsidR="00E16638" w:rsidRDefault="00E16638" w:rsidP="00E16638">
      <w:pPr>
        <w:pStyle w:val="NoSpacing"/>
      </w:pPr>
    </w:p>
    <w:p w:rsidR="00E16638" w:rsidRDefault="00E16638" w:rsidP="00E16638">
      <w:pPr>
        <w:pStyle w:val="NoSpacing"/>
      </w:pPr>
      <w:r>
        <w:rPr>
          <w:noProof/>
        </w:rPr>
        <w:drawing>
          <wp:inline distT="0" distB="0" distL="0" distR="0" wp14:anchorId="733F3617" wp14:editId="5B0AFE80">
            <wp:extent cx="1371603" cy="3627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20signature%20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3" cy="362713"/>
                    </a:xfrm>
                    <a:prstGeom prst="rect">
                      <a:avLst/>
                    </a:prstGeom>
                  </pic:spPr>
                </pic:pic>
              </a:graphicData>
            </a:graphic>
          </wp:inline>
        </w:drawing>
      </w:r>
    </w:p>
    <w:p w:rsidR="00E16638" w:rsidRDefault="00E16638" w:rsidP="00E16638">
      <w:pPr>
        <w:pStyle w:val="NoSpacing"/>
      </w:pPr>
      <w:r>
        <w:rPr>
          <w:noProof/>
        </w:rPr>
        <mc:AlternateContent>
          <mc:Choice Requires="wps">
            <w:drawing>
              <wp:inline distT="0" distB="0" distL="0" distR="0" wp14:anchorId="4FD24EF0" wp14:editId="522B303E">
                <wp:extent cx="6210300" cy="342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42900"/>
                        </a:xfrm>
                        <a:prstGeom prst="rect">
                          <a:avLst/>
                        </a:prstGeom>
                        <a:solidFill>
                          <a:srgbClr val="FFFFFF"/>
                        </a:solidFill>
                        <a:ln w="9525">
                          <a:noFill/>
                          <a:miter lim="800000"/>
                          <a:headEnd/>
                          <a:tailEnd/>
                        </a:ln>
                      </wps:spPr>
                      <wps:txbx>
                        <w:txbxContent>
                          <w:p w:rsidR="00E11F10" w:rsidRPr="00E16638" w:rsidRDefault="00E11F10" w:rsidP="00E16638">
                            <w:pPr>
                              <w:rPr>
                                <w:rFonts w:ascii="Arial" w:hAnsi="Arial"/>
                                <w:sz w:val="16"/>
                                <w:szCs w:val="16"/>
                              </w:rPr>
                            </w:pPr>
                            <w:r w:rsidRPr="00E16638">
                              <w:rPr>
                                <w:rFonts w:ascii="Arial" w:hAnsi="Arial"/>
                                <w:sz w:val="16"/>
                                <w:szCs w:val="16"/>
                              </w:rPr>
                              <w:t>Baker Tilly Virchow Krause, LLP trading as Baker Tilly is a member of the global network of Baker Tilly International Ltd., the members of which are separate and independent legal entities.</w:t>
                            </w:r>
                          </w:p>
                          <w:p w:rsidR="00E11F10" w:rsidRPr="00E16638" w:rsidRDefault="00E11F10" w:rsidP="00E16638"/>
                        </w:txbxContent>
                      </wps:txbx>
                      <wps:bodyPr rot="0" vert="horz" wrap="square" lIns="91440" tIns="45720" rIns="91440" bIns="45720" anchor="t" anchorCtr="0">
                        <a:noAutofit/>
                      </wps:bodyPr>
                    </wps:wsp>
                  </a:graphicData>
                </a:graphic>
              </wp:inline>
            </w:drawing>
          </mc:Choice>
          <mc:Fallback>
            <w:pict>
              <v:shapetype w14:anchorId="4FD24EF0" id="_x0000_t202" coordsize="21600,21600" o:spt="202" path="m,l,21600r21600,l21600,xe">
                <v:stroke joinstyle="miter"/>
                <v:path gradientshapeok="t" o:connecttype="rect"/>
              </v:shapetype>
              <v:shape id="Text Box 2" o:spid="_x0000_s1026" type="#_x0000_t202" style="width:489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" stroked="f">
                <v:textbox>
                  <w:txbxContent>
                    <w:p w:rsidR="00E11F10" w:rsidRPr="00E16638" w:rsidRDefault="00E11F10" w:rsidP="00E16638">
                      <w:pPr>
                        <w:rPr>
                          <w:rFonts w:ascii="Arial" w:hAnsi="Arial"/>
                          <w:sz w:val="16"/>
                          <w:szCs w:val="16"/>
                        </w:rPr>
                      </w:pPr>
                      <w:r w:rsidRPr="00E16638">
                        <w:rPr>
                          <w:rFonts w:ascii="Arial" w:hAnsi="Arial"/>
                          <w:sz w:val="16"/>
                          <w:szCs w:val="16"/>
                        </w:rPr>
                        <w:t>Baker Tilly Virchow Krause, LLP trading as Baker Tilly is a member of the global network of Baker Tilly International Ltd., the members of which are separate and independent legal entities.</w:t>
                      </w:r>
                    </w:p>
                    <w:p w:rsidR="00E11F10" w:rsidRPr="00E16638" w:rsidRDefault="00E11F10" w:rsidP="00E16638"/>
                  </w:txbxContent>
                </v:textbox>
                <w10:anchorlock/>
              </v:shape>
            </w:pict>
          </mc:Fallback>
        </mc:AlternateContent>
      </w:r>
    </w:p>
    <w:p w:rsidR="00E16638" w:rsidRPr="00790660" w:rsidRDefault="00E16638" w:rsidP="00E16638">
      <w:pPr>
        <w:pStyle w:val="NoSpacing"/>
        <w:sectPr w:rsidR="00E16638" w:rsidRPr="00790660" w:rsidSect="00301A7C">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start="1"/>
          <w:cols w:space="720"/>
          <w:titlePg/>
          <w:docGrid w:linePitch="360"/>
        </w:sectPr>
      </w:pPr>
    </w:p>
    <w:p w:rsidR="00EF2E6F" w:rsidRPr="00E16638" w:rsidRDefault="00EF2E6F" w:rsidP="00E16638">
      <w:pPr>
        <w:pStyle w:val="Subtitle"/>
      </w:pPr>
      <w:r w:rsidRPr="00E16638">
        <w:lastRenderedPageBreak/>
        <w:t>Table of Contents</w:t>
      </w:r>
    </w:p>
    <w:p w:rsidR="006A3010" w:rsidRDefault="00A23D8A">
      <w:pPr>
        <w:pStyle w:val="TOC1"/>
        <w:rPr>
          <w:rFonts w:cstheme="minorBidi"/>
          <w:noProof/>
          <w:sz w:val="22"/>
          <w:szCs w:val="22"/>
        </w:rPr>
      </w:pPr>
      <w:r w:rsidRPr="00790660">
        <w:rPr>
          <w:b/>
        </w:rPr>
        <w:fldChar w:fldCharType="begin"/>
      </w:r>
      <w:r w:rsidRPr="00790660">
        <w:instrText xml:space="preserve"> TOC \o "1-3" \h \z \u </w:instrText>
      </w:r>
      <w:r w:rsidRPr="00790660">
        <w:rPr>
          <w:b/>
        </w:rPr>
        <w:fldChar w:fldCharType="separate"/>
      </w:r>
      <w:hyperlink w:anchor="_Toc3477533" w:history="1">
        <w:r w:rsidR="006A3010" w:rsidRPr="00763CB3">
          <w:rPr>
            <w:rStyle w:val="Hyperlink"/>
            <w:noProof/>
          </w:rPr>
          <w:t>I.</w:t>
        </w:r>
        <w:r w:rsidR="006A3010">
          <w:rPr>
            <w:rFonts w:cstheme="minorBidi"/>
            <w:noProof/>
            <w:sz w:val="22"/>
            <w:szCs w:val="22"/>
          </w:rPr>
          <w:tab/>
        </w:r>
        <w:r w:rsidR="006A3010" w:rsidRPr="00763CB3">
          <w:rPr>
            <w:rStyle w:val="Hyperlink"/>
            <w:noProof/>
          </w:rPr>
          <w:t>Overview</w:t>
        </w:r>
        <w:r w:rsidR="006A3010">
          <w:rPr>
            <w:noProof/>
            <w:webHidden/>
          </w:rPr>
          <w:tab/>
        </w:r>
        <w:r w:rsidR="006A3010">
          <w:rPr>
            <w:noProof/>
            <w:webHidden/>
          </w:rPr>
          <w:fldChar w:fldCharType="begin"/>
        </w:r>
        <w:r w:rsidR="006A3010">
          <w:rPr>
            <w:noProof/>
            <w:webHidden/>
          </w:rPr>
          <w:instrText xml:space="preserve"> PAGEREF _Toc3477533 \h </w:instrText>
        </w:r>
        <w:r w:rsidR="006A3010">
          <w:rPr>
            <w:noProof/>
            <w:webHidden/>
          </w:rPr>
        </w:r>
        <w:r w:rsidR="006A3010">
          <w:rPr>
            <w:noProof/>
            <w:webHidden/>
          </w:rPr>
          <w:fldChar w:fldCharType="separate"/>
        </w:r>
        <w:r w:rsidR="006A3010">
          <w:rPr>
            <w:noProof/>
            <w:webHidden/>
          </w:rPr>
          <w:t>1</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34" w:history="1">
        <w:r w:rsidR="006A3010" w:rsidRPr="00763CB3">
          <w:rPr>
            <w:rStyle w:val="Hyperlink"/>
            <w:noProof/>
            <w14:scene3d>
              <w14:camera w14:prst="orthographicFront"/>
              <w14:lightRig w14:rig="threePt" w14:dir="t">
                <w14:rot w14:lat="0" w14:lon="0" w14:rev="0"/>
              </w14:lightRig>
            </w14:scene3d>
          </w:rPr>
          <w:t>A.</w:t>
        </w:r>
        <w:r w:rsidR="006A3010">
          <w:rPr>
            <w:rFonts w:cstheme="minorBidi"/>
            <w:noProof/>
            <w:sz w:val="22"/>
            <w:szCs w:val="22"/>
          </w:rPr>
          <w:tab/>
        </w:r>
        <w:r w:rsidR="006A3010" w:rsidRPr="00763CB3">
          <w:rPr>
            <w:rStyle w:val="Hyperlink"/>
            <w:noProof/>
          </w:rPr>
          <w:t>Retention and Scope</w:t>
        </w:r>
        <w:r w:rsidR="006A3010">
          <w:rPr>
            <w:noProof/>
            <w:webHidden/>
          </w:rPr>
          <w:tab/>
        </w:r>
        <w:r w:rsidR="006A3010">
          <w:rPr>
            <w:noProof/>
            <w:webHidden/>
          </w:rPr>
          <w:fldChar w:fldCharType="begin"/>
        </w:r>
        <w:r w:rsidR="006A3010">
          <w:rPr>
            <w:noProof/>
            <w:webHidden/>
          </w:rPr>
          <w:instrText xml:space="preserve"> PAGEREF _Toc3477534 \h </w:instrText>
        </w:r>
        <w:r w:rsidR="006A3010">
          <w:rPr>
            <w:noProof/>
            <w:webHidden/>
          </w:rPr>
        </w:r>
        <w:r w:rsidR="006A3010">
          <w:rPr>
            <w:noProof/>
            <w:webHidden/>
          </w:rPr>
          <w:fldChar w:fldCharType="separate"/>
        </w:r>
        <w:r w:rsidR="006A3010">
          <w:rPr>
            <w:noProof/>
            <w:webHidden/>
          </w:rPr>
          <w:t>1</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35" w:history="1">
        <w:r w:rsidR="006A3010" w:rsidRPr="00763CB3">
          <w:rPr>
            <w:rStyle w:val="Hyperlink"/>
            <w:noProof/>
            <w14:scene3d>
              <w14:camera w14:prst="orthographicFront"/>
              <w14:lightRig w14:rig="threePt" w14:dir="t">
                <w14:rot w14:lat="0" w14:lon="0" w14:rev="0"/>
              </w14:lightRig>
            </w14:scene3d>
          </w:rPr>
          <w:t>B.</w:t>
        </w:r>
        <w:r w:rsidR="006A3010">
          <w:rPr>
            <w:rFonts w:cstheme="minorBidi"/>
            <w:noProof/>
            <w:sz w:val="22"/>
            <w:szCs w:val="22"/>
          </w:rPr>
          <w:tab/>
        </w:r>
        <w:r w:rsidR="006A3010" w:rsidRPr="00763CB3">
          <w:rPr>
            <w:rStyle w:val="Hyperlink"/>
            <w:noProof/>
          </w:rPr>
          <w:t>Qualifications</w:t>
        </w:r>
        <w:r w:rsidR="006A3010">
          <w:rPr>
            <w:noProof/>
            <w:webHidden/>
          </w:rPr>
          <w:tab/>
        </w:r>
        <w:r w:rsidR="006A3010">
          <w:rPr>
            <w:noProof/>
            <w:webHidden/>
          </w:rPr>
          <w:fldChar w:fldCharType="begin"/>
        </w:r>
        <w:r w:rsidR="006A3010">
          <w:rPr>
            <w:noProof/>
            <w:webHidden/>
          </w:rPr>
          <w:instrText xml:space="preserve"> PAGEREF _Toc3477535 \h </w:instrText>
        </w:r>
        <w:r w:rsidR="006A3010">
          <w:rPr>
            <w:noProof/>
            <w:webHidden/>
          </w:rPr>
        </w:r>
        <w:r w:rsidR="006A3010">
          <w:rPr>
            <w:noProof/>
            <w:webHidden/>
          </w:rPr>
          <w:fldChar w:fldCharType="separate"/>
        </w:r>
        <w:r w:rsidR="006A3010">
          <w:rPr>
            <w:noProof/>
            <w:webHidden/>
          </w:rPr>
          <w:t>1</w:t>
        </w:r>
        <w:r w:rsidR="006A3010">
          <w:rPr>
            <w:noProof/>
            <w:webHidden/>
          </w:rPr>
          <w:fldChar w:fldCharType="end"/>
        </w:r>
      </w:hyperlink>
    </w:p>
    <w:p w:rsidR="006A3010" w:rsidRDefault="004311CA">
      <w:pPr>
        <w:pStyle w:val="TOC3"/>
        <w:rPr>
          <w:rFonts w:cstheme="minorBidi"/>
          <w:noProof/>
          <w:sz w:val="22"/>
          <w:szCs w:val="22"/>
        </w:rPr>
      </w:pPr>
      <w:hyperlink w:anchor="_Toc3477536" w:history="1">
        <w:r w:rsidR="006A3010" w:rsidRPr="00763CB3">
          <w:rPr>
            <w:rStyle w:val="Hyperlink"/>
            <w:noProof/>
          </w:rPr>
          <w:t>1.</w:t>
        </w:r>
        <w:r w:rsidR="006A3010">
          <w:rPr>
            <w:rFonts w:cstheme="minorBidi"/>
            <w:noProof/>
            <w:sz w:val="22"/>
            <w:szCs w:val="22"/>
          </w:rPr>
          <w:tab/>
        </w:r>
        <w:r w:rsidR="006A3010" w:rsidRPr="00763CB3">
          <w:rPr>
            <w:rStyle w:val="Hyperlink"/>
            <w:noProof/>
          </w:rPr>
          <w:t>Brian Sanvidge Qualifications</w:t>
        </w:r>
        <w:r w:rsidR="006A3010">
          <w:rPr>
            <w:noProof/>
            <w:webHidden/>
          </w:rPr>
          <w:tab/>
        </w:r>
        <w:r w:rsidR="006A3010">
          <w:rPr>
            <w:noProof/>
            <w:webHidden/>
          </w:rPr>
          <w:fldChar w:fldCharType="begin"/>
        </w:r>
        <w:r w:rsidR="006A3010">
          <w:rPr>
            <w:noProof/>
            <w:webHidden/>
          </w:rPr>
          <w:instrText xml:space="preserve"> PAGEREF _Toc3477536 \h </w:instrText>
        </w:r>
        <w:r w:rsidR="006A3010">
          <w:rPr>
            <w:noProof/>
            <w:webHidden/>
          </w:rPr>
        </w:r>
        <w:r w:rsidR="006A3010">
          <w:rPr>
            <w:noProof/>
            <w:webHidden/>
          </w:rPr>
          <w:fldChar w:fldCharType="separate"/>
        </w:r>
        <w:r w:rsidR="006A3010">
          <w:rPr>
            <w:noProof/>
            <w:webHidden/>
          </w:rPr>
          <w:t>1</w:t>
        </w:r>
        <w:r w:rsidR="006A3010">
          <w:rPr>
            <w:noProof/>
            <w:webHidden/>
          </w:rPr>
          <w:fldChar w:fldCharType="end"/>
        </w:r>
      </w:hyperlink>
    </w:p>
    <w:p w:rsidR="006A3010" w:rsidRDefault="004311CA">
      <w:pPr>
        <w:pStyle w:val="TOC3"/>
        <w:rPr>
          <w:rFonts w:cstheme="minorBidi"/>
          <w:noProof/>
          <w:sz w:val="22"/>
          <w:szCs w:val="22"/>
        </w:rPr>
      </w:pPr>
      <w:hyperlink w:anchor="_Toc3477537" w:history="1">
        <w:r w:rsidR="006A3010" w:rsidRPr="00763CB3">
          <w:rPr>
            <w:rStyle w:val="Hyperlink"/>
            <w:noProof/>
          </w:rPr>
          <w:t>2.</w:t>
        </w:r>
        <w:r w:rsidR="006A3010">
          <w:rPr>
            <w:rFonts w:cstheme="minorBidi"/>
            <w:noProof/>
            <w:sz w:val="22"/>
            <w:szCs w:val="22"/>
          </w:rPr>
          <w:tab/>
        </w:r>
        <w:r w:rsidR="006A3010" w:rsidRPr="00763CB3">
          <w:rPr>
            <w:rStyle w:val="Hyperlink"/>
            <w:noProof/>
          </w:rPr>
          <w:t>Baker Tilly Qualifications</w:t>
        </w:r>
        <w:r w:rsidR="006A3010">
          <w:rPr>
            <w:noProof/>
            <w:webHidden/>
          </w:rPr>
          <w:tab/>
        </w:r>
        <w:r w:rsidR="006A3010">
          <w:rPr>
            <w:noProof/>
            <w:webHidden/>
          </w:rPr>
          <w:fldChar w:fldCharType="begin"/>
        </w:r>
        <w:r w:rsidR="006A3010">
          <w:rPr>
            <w:noProof/>
            <w:webHidden/>
          </w:rPr>
          <w:instrText xml:space="preserve"> PAGEREF _Toc3477537 \h </w:instrText>
        </w:r>
        <w:r w:rsidR="006A3010">
          <w:rPr>
            <w:noProof/>
            <w:webHidden/>
          </w:rPr>
        </w:r>
        <w:r w:rsidR="006A3010">
          <w:rPr>
            <w:noProof/>
            <w:webHidden/>
          </w:rPr>
          <w:fldChar w:fldCharType="separate"/>
        </w:r>
        <w:r w:rsidR="006A3010">
          <w:rPr>
            <w:noProof/>
            <w:webHidden/>
          </w:rPr>
          <w:t>2</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38" w:history="1">
        <w:r w:rsidR="006A3010" w:rsidRPr="00763CB3">
          <w:rPr>
            <w:rStyle w:val="Hyperlink"/>
            <w:noProof/>
            <w14:scene3d>
              <w14:camera w14:prst="orthographicFront"/>
              <w14:lightRig w14:rig="threePt" w14:dir="t">
                <w14:rot w14:lat="0" w14:lon="0" w14:rev="0"/>
              </w14:lightRig>
            </w14:scene3d>
          </w:rPr>
          <w:t>C.</w:t>
        </w:r>
        <w:r w:rsidR="006A3010">
          <w:rPr>
            <w:rFonts w:cstheme="minorBidi"/>
            <w:noProof/>
            <w:sz w:val="22"/>
            <w:szCs w:val="22"/>
          </w:rPr>
          <w:tab/>
        </w:r>
        <w:r w:rsidR="006A3010" w:rsidRPr="00763CB3">
          <w:rPr>
            <w:rStyle w:val="Hyperlink"/>
            <w:noProof/>
          </w:rPr>
          <w:t>Engagement Oversight</w:t>
        </w:r>
        <w:r w:rsidR="006A3010">
          <w:rPr>
            <w:noProof/>
            <w:webHidden/>
          </w:rPr>
          <w:tab/>
        </w:r>
        <w:r w:rsidR="006A3010">
          <w:rPr>
            <w:noProof/>
            <w:webHidden/>
          </w:rPr>
          <w:fldChar w:fldCharType="begin"/>
        </w:r>
        <w:r w:rsidR="006A3010">
          <w:rPr>
            <w:noProof/>
            <w:webHidden/>
          </w:rPr>
          <w:instrText xml:space="preserve"> PAGEREF _Toc3477538 \h </w:instrText>
        </w:r>
        <w:r w:rsidR="006A3010">
          <w:rPr>
            <w:noProof/>
            <w:webHidden/>
          </w:rPr>
        </w:r>
        <w:r w:rsidR="006A3010">
          <w:rPr>
            <w:noProof/>
            <w:webHidden/>
          </w:rPr>
          <w:fldChar w:fldCharType="separate"/>
        </w:r>
        <w:r w:rsidR="006A3010">
          <w:rPr>
            <w:noProof/>
            <w:webHidden/>
          </w:rPr>
          <w:t>3</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39" w:history="1">
        <w:r w:rsidR="006A3010" w:rsidRPr="00763CB3">
          <w:rPr>
            <w:rStyle w:val="Hyperlink"/>
            <w:noProof/>
            <w14:scene3d>
              <w14:camera w14:prst="orthographicFront"/>
              <w14:lightRig w14:rig="threePt" w14:dir="t">
                <w14:rot w14:lat="0" w14:lon="0" w14:rev="0"/>
              </w14:lightRig>
            </w14:scene3d>
          </w:rPr>
          <w:t>D.</w:t>
        </w:r>
        <w:r w:rsidR="006A3010">
          <w:rPr>
            <w:rFonts w:cstheme="minorBidi"/>
            <w:noProof/>
            <w:sz w:val="22"/>
            <w:szCs w:val="22"/>
          </w:rPr>
          <w:tab/>
        </w:r>
        <w:r w:rsidR="006A3010" w:rsidRPr="00763CB3">
          <w:rPr>
            <w:rStyle w:val="Hyperlink"/>
            <w:noProof/>
          </w:rPr>
          <w:t>Limitations</w:t>
        </w:r>
        <w:r w:rsidR="006A3010">
          <w:rPr>
            <w:noProof/>
            <w:webHidden/>
          </w:rPr>
          <w:tab/>
        </w:r>
        <w:r w:rsidR="006A3010">
          <w:rPr>
            <w:noProof/>
            <w:webHidden/>
          </w:rPr>
          <w:fldChar w:fldCharType="begin"/>
        </w:r>
        <w:r w:rsidR="006A3010">
          <w:rPr>
            <w:noProof/>
            <w:webHidden/>
          </w:rPr>
          <w:instrText xml:space="preserve"> PAGEREF _Toc3477539 \h </w:instrText>
        </w:r>
        <w:r w:rsidR="006A3010">
          <w:rPr>
            <w:noProof/>
            <w:webHidden/>
          </w:rPr>
        </w:r>
        <w:r w:rsidR="006A3010">
          <w:rPr>
            <w:noProof/>
            <w:webHidden/>
          </w:rPr>
          <w:fldChar w:fldCharType="separate"/>
        </w:r>
        <w:r w:rsidR="006A3010">
          <w:rPr>
            <w:noProof/>
            <w:webHidden/>
          </w:rPr>
          <w:t>4</w:t>
        </w:r>
        <w:r w:rsidR="006A3010">
          <w:rPr>
            <w:noProof/>
            <w:webHidden/>
          </w:rPr>
          <w:fldChar w:fldCharType="end"/>
        </w:r>
      </w:hyperlink>
    </w:p>
    <w:p w:rsidR="006A3010" w:rsidRDefault="004311CA">
      <w:pPr>
        <w:pStyle w:val="TOC1"/>
        <w:rPr>
          <w:rFonts w:cstheme="minorBidi"/>
          <w:noProof/>
          <w:sz w:val="22"/>
          <w:szCs w:val="22"/>
        </w:rPr>
      </w:pPr>
      <w:hyperlink w:anchor="_Toc3477540" w:history="1">
        <w:r w:rsidR="006A3010" w:rsidRPr="00763CB3">
          <w:rPr>
            <w:rStyle w:val="Hyperlink"/>
            <w:noProof/>
          </w:rPr>
          <w:t>II.</w:t>
        </w:r>
        <w:r w:rsidR="006A3010">
          <w:rPr>
            <w:rFonts w:cstheme="minorBidi"/>
            <w:noProof/>
            <w:sz w:val="22"/>
            <w:szCs w:val="22"/>
          </w:rPr>
          <w:tab/>
        </w:r>
        <w:r w:rsidR="006A3010" w:rsidRPr="00763CB3">
          <w:rPr>
            <w:rStyle w:val="Hyperlink"/>
            <w:noProof/>
          </w:rPr>
          <w:t>Background</w:t>
        </w:r>
        <w:r w:rsidR="006A3010">
          <w:rPr>
            <w:noProof/>
            <w:webHidden/>
          </w:rPr>
          <w:tab/>
        </w:r>
        <w:r w:rsidR="006A3010">
          <w:rPr>
            <w:noProof/>
            <w:webHidden/>
          </w:rPr>
          <w:fldChar w:fldCharType="begin"/>
        </w:r>
        <w:r w:rsidR="006A3010">
          <w:rPr>
            <w:noProof/>
            <w:webHidden/>
          </w:rPr>
          <w:instrText xml:space="preserve"> PAGEREF _Toc3477540 \h </w:instrText>
        </w:r>
        <w:r w:rsidR="006A3010">
          <w:rPr>
            <w:noProof/>
            <w:webHidden/>
          </w:rPr>
        </w:r>
        <w:r w:rsidR="006A3010">
          <w:rPr>
            <w:noProof/>
            <w:webHidden/>
          </w:rPr>
          <w:fldChar w:fldCharType="separate"/>
        </w:r>
        <w:r w:rsidR="006A3010">
          <w:rPr>
            <w:noProof/>
            <w:webHidden/>
          </w:rPr>
          <w:t>6</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41" w:history="1">
        <w:r w:rsidR="006A3010" w:rsidRPr="00763CB3">
          <w:rPr>
            <w:rStyle w:val="Hyperlink"/>
            <w:noProof/>
            <w14:scene3d>
              <w14:camera w14:prst="orthographicFront"/>
              <w14:lightRig w14:rig="threePt" w14:dir="t">
                <w14:rot w14:lat="0" w14:lon="0" w14:rev="0"/>
              </w14:lightRig>
            </w14:scene3d>
          </w:rPr>
          <w:t>A.</w:t>
        </w:r>
        <w:r w:rsidR="006A3010">
          <w:rPr>
            <w:rFonts w:cstheme="minorBidi"/>
            <w:noProof/>
            <w:sz w:val="22"/>
            <w:szCs w:val="22"/>
          </w:rPr>
          <w:tab/>
        </w:r>
        <w:r w:rsidR="006A3010" w:rsidRPr="00763CB3">
          <w:rPr>
            <w:rStyle w:val="Hyperlink"/>
            <w:noProof/>
          </w:rPr>
          <w:t>HCPSS’s Operations</w:t>
        </w:r>
        <w:r w:rsidR="006A3010">
          <w:rPr>
            <w:noProof/>
            <w:webHidden/>
          </w:rPr>
          <w:tab/>
        </w:r>
        <w:r w:rsidR="006A3010">
          <w:rPr>
            <w:noProof/>
            <w:webHidden/>
          </w:rPr>
          <w:fldChar w:fldCharType="begin"/>
        </w:r>
        <w:r w:rsidR="006A3010">
          <w:rPr>
            <w:noProof/>
            <w:webHidden/>
          </w:rPr>
          <w:instrText xml:space="preserve"> PAGEREF _Toc3477541 \h </w:instrText>
        </w:r>
        <w:r w:rsidR="006A3010">
          <w:rPr>
            <w:noProof/>
            <w:webHidden/>
          </w:rPr>
        </w:r>
        <w:r w:rsidR="006A3010">
          <w:rPr>
            <w:noProof/>
            <w:webHidden/>
          </w:rPr>
          <w:fldChar w:fldCharType="separate"/>
        </w:r>
        <w:r w:rsidR="006A3010">
          <w:rPr>
            <w:noProof/>
            <w:webHidden/>
          </w:rPr>
          <w:t>6</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42" w:history="1">
        <w:r w:rsidR="006A3010" w:rsidRPr="00763CB3">
          <w:rPr>
            <w:rStyle w:val="Hyperlink"/>
            <w:noProof/>
            <w14:scene3d>
              <w14:camera w14:prst="orthographicFront"/>
              <w14:lightRig w14:rig="threePt" w14:dir="t">
                <w14:rot w14:lat="0" w14:lon="0" w14:rev="0"/>
              </w14:lightRig>
            </w14:scene3d>
          </w:rPr>
          <w:t>B.</w:t>
        </w:r>
        <w:r w:rsidR="006A3010">
          <w:rPr>
            <w:rFonts w:cstheme="minorBidi"/>
            <w:noProof/>
            <w:sz w:val="22"/>
            <w:szCs w:val="22"/>
          </w:rPr>
          <w:tab/>
        </w:r>
        <w:r w:rsidR="006A3010" w:rsidRPr="00763CB3">
          <w:rPr>
            <w:rStyle w:val="Hyperlink"/>
            <w:noProof/>
          </w:rPr>
          <w:t>Cause of Forensic Review</w:t>
        </w:r>
        <w:r w:rsidR="006A3010">
          <w:rPr>
            <w:noProof/>
            <w:webHidden/>
          </w:rPr>
          <w:tab/>
        </w:r>
        <w:r w:rsidR="006A3010">
          <w:rPr>
            <w:noProof/>
            <w:webHidden/>
          </w:rPr>
          <w:fldChar w:fldCharType="begin"/>
        </w:r>
        <w:r w:rsidR="006A3010">
          <w:rPr>
            <w:noProof/>
            <w:webHidden/>
          </w:rPr>
          <w:instrText xml:space="preserve"> PAGEREF _Toc3477542 \h </w:instrText>
        </w:r>
        <w:r w:rsidR="006A3010">
          <w:rPr>
            <w:noProof/>
            <w:webHidden/>
          </w:rPr>
        </w:r>
        <w:r w:rsidR="006A3010">
          <w:rPr>
            <w:noProof/>
            <w:webHidden/>
          </w:rPr>
          <w:fldChar w:fldCharType="separate"/>
        </w:r>
        <w:r w:rsidR="006A3010">
          <w:rPr>
            <w:noProof/>
            <w:webHidden/>
          </w:rPr>
          <w:t>7</w:t>
        </w:r>
        <w:r w:rsidR="006A3010">
          <w:rPr>
            <w:noProof/>
            <w:webHidden/>
          </w:rPr>
          <w:fldChar w:fldCharType="end"/>
        </w:r>
      </w:hyperlink>
    </w:p>
    <w:p w:rsidR="006A3010" w:rsidRDefault="004311CA">
      <w:pPr>
        <w:pStyle w:val="TOC1"/>
        <w:rPr>
          <w:rFonts w:cstheme="minorBidi"/>
          <w:noProof/>
          <w:sz w:val="22"/>
          <w:szCs w:val="22"/>
        </w:rPr>
      </w:pPr>
      <w:hyperlink w:anchor="_Toc3477543" w:history="1">
        <w:r w:rsidR="006A3010" w:rsidRPr="00763CB3">
          <w:rPr>
            <w:rStyle w:val="Hyperlink"/>
            <w:noProof/>
          </w:rPr>
          <w:t>III.</w:t>
        </w:r>
        <w:r w:rsidR="006A3010">
          <w:rPr>
            <w:rFonts w:cstheme="minorBidi"/>
            <w:noProof/>
            <w:sz w:val="22"/>
            <w:szCs w:val="22"/>
          </w:rPr>
          <w:tab/>
        </w:r>
        <w:r w:rsidR="006A3010" w:rsidRPr="00763CB3">
          <w:rPr>
            <w:rStyle w:val="Hyperlink"/>
            <w:noProof/>
          </w:rPr>
          <w:t>Methodology</w:t>
        </w:r>
        <w:r w:rsidR="006A3010">
          <w:rPr>
            <w:noProof/>
            <w:webHidden/>
          </w:rPr>
          <w:tab/>
        </w:r>
        <w:r w:rsidR="006A3010">
          <w:rPr>
            <w:noProof/>
            <w:webHidden/>
          </w:rPr>
          <w:fldChar w:fldCharType="begin"/>
        </w:r>
        <w:r w:rsidR="006A3010">
          <w:rPr>
            <w:noProof/>
            <w:webHidden/>
          </w:rPr>
          <w:instrText xml:space="preserve"> PAGEREF _Toc3477543 \h </w:instrText>
        </w:r>
        <w:r w:rsidR="006A3010">
          <w:rPr>
            <w:noProof/>
            <w:webHidden/>
          </w:rPr>
        </w:r>
        <w:r w:rsidR="006A3010">
          <w:rPr>
            <w:noProof/>
            <w:webHidden/>
          </w:rPr>
          <w:fldChar w:fldCharType="separate"/>
        </w:r>
        <w:r w:rsidR="006A3010">
          <w:rPr>
            <w:noProof/>
            <w:webHidden/>
          </w:rPr>
          <w:t>8</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44" w:history="1">
        <w:r w:rsidR="006A3010" w:rsidRPr="00763CB3">
          <w:rPr>
            <w:rStyle w:val="Hyperlink"/>
            <w:noProof/>
            <w14:scene3d>
              <w14:camera w14:prst="orthographicFront"/>
              <w14:lightRig w14:rig="threePt" w14:dir="t">
                <w14:rot w14:lat="0" w14:lon="0" w14:rev="0"/>
              </w14:lightRig>
            </w14:scene3d>
          </w:rPr>
          <w:t>A.</w:t>
        </w:r>
        <w:r w:rsidR="006A3010">
          <w:rPr>
            <w:rFonts w:cstheme="minorBidi"/>
            <w:noProof/>
            <w:sz w:val="22"/>
            <w:szCs w:val="22"/>
          </w:rPr>
          <w:tab/>
        </w:r>
        <w:r w:rsidR="006A3010" w:rsidRPr="00763CB3">
          <w:rPr>
            <w:rStyle w:val="Hyperlink"/>
            <w:noProof/>
          </w:rPr>
          <w:t>Interviews</w:t>
        </w:r>
        <w:r w:rsidR="006A3010">
          <w:rPr>
            <w:noProof/>
            <w:webHidden/>
          </w:rPr>
          <w:tab/>
        </w:r>
        <w:r w:rsidR="006A3010">
          <w:rPr>
            <w:noProof/>
            <w:webHidden/>
          </w:rPr>
          <w:fldChar w:fldCharType="begin"/>
        </w:r>
        <w:r w:rsidR="006A3010">
          <w:rPr>
            <w:noProof/>
            <w:webHidden/>
          </w:rPr>
          <w:instrText xml:space="preserve"> PAGEREF _Toc3477544 \h </w:instrText>
        </w:r>
        <w:r w:rsidR="006A3010">
          <w:rPr>
            <w:noProof/>
            <w:webHidden/>
          </w:rPr>
        </w:r>
        <w:r w:rsidR="006A3010">
          <w:rPr>
            <w:noProof/>
            <w:webHidden/>
          </w:rPr>
          <w:fldChar w:fldCharType="separate"/>
        </w:r>
        <w:r w:rsidR="006A3010">
          <w:rPr>
            <w:noProof/>
            <w:webHidden/>
          </w:rPr>
          <w:t>8</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45" w:history="1">
        <w:r w:rsidR="006A3010" w:rsidRPr="00763CB3">
          <w:rPr>
            <w:rStyle w:val="Hyperlink"/>
            <w:noProof/>
            <w14:scene3d>
              <w14:camera w14:prst="orthographicFront"/>
              <w14:lightRig w14:rig="threePt" w14:dir="t">
                <w14:rot w14:lat="0" w14:lon="0" w14:rev="0"/>
              </w14:lightRig>
            </w14:scene3d>
          </w:rPr>
          <w:t>B.</w:t>
        </w:r>
        <w:r w:rsidR="006A3010">
          <w:rPr>
            <w:rFonts w:cstheme="minorBidi"/>
            <w:noProof/>
            <w:sz w:val="22"/>
            <w:szCs w:val="22"/>
          </w:rPr>
          <w:tab/>
        </w:r>
        <w:r w:rsidR="006A3010" w:rsidRPr="00763CB3">
          <w:rPr>
            <w:rStyle w:val="Hyperlink"/>
            <w:noProof/>
          </w:rPr>
          <w:t>Document Review and Analysis</w:t>
        </w:r>
        <w:r w:rsidR="006A3010">
          <w:rPr>
            <w:noProof/>
            <w:webHidden/>
          </w:rPr>
          <w:tab/>
        </w:r>
        <w:r w:rsidR="006A3010">
          <w:rPr>
            <w:noProof/>
            <w:webHidden/>
          </w:rPr>
          <w:fldChar w:fldCharType="begin"/>
        </w:r>
        <w:r w:rsidR="006A3010">
          <w:rPr>
            <w:noProof/>
            <w:webHidden/>
          </w:rPr>
          <w:instrText xml:space="preserve"> PAGEREF _Toc3477545 \h </w:instrText>
        </w:r>
        <w:r w:rsidR="006A3010">
          <w:rPr>
            <w:noProof/>
            <w:webHidden/>
          </w:rPr>
        </w:r>
        <w:r w:rsidR="006A3010">
          <w:rPr>
            <w:noProof/>
            <w:webHidden/>
          </w:rPr>
          <w:fldChar w:fldCharType="separate"/>
        </w:r>
        <w:r w:rsidR="006A3010">
          <w:rPr>
            <w:noProof/>
            <w:webHidden/>
          </w:rPr>
          <w:t>8</w:t>
        </w:r>
        <w:r w:rsidR="006A3010">
          <w:rPr>
            <w:noProof/>
            <w:webHidden/>
          </w:rPr>
          <w:fldChar w:fldCharType="end"/>
        </w:r>
      </w:hyperlink>
    </w:p>
    <w:p w:rsidR="006A3010" w:rsidRDefault="004311CA">
      <w:pPr>
        <w:pStyle w:val="TOC3"/>
        <w:rPr>
          <w:rFonts w:cstheme="minorBidi"/>
          <w:noProof/>
          <w:sz w:val="22"/>
          <w:szCs w:val="22"/>
        </w:rPr>
      </w:pPr>
      <w:hyperlink w:anchor="_Toc3477546" w:history="1">
        <w:r w:rsidR="006A3010" w:rsidRPr="00763CB3">
          <w:rPr>
            <w:rStyle w:val="Hyperlink"/>
            <w:noProof/>
          </w:rPr>
          <w:t>1.</w:t>
        </w:r>
        <w:r w:rsidR="006A3010">
          <w:rPr>
            <w:rFonts w:cstheme="minorBidi"/>
            <w:noProof/>
            <w:sz w:val="22"/>
            <w:szCs w:val="22"/>
          </w:rPr>
          <w:tab/>
        </w:r>
        <w:r w:rsidR="006A3010" w:rsidRPr="00763CB3">
          <w:rPr>
            <w:rStyle w:val="Hyperlink"/>
            <w:noProof/>
          </w:rPr>
          <w:t>Preliminary Review and Analyses</w:t>
        </w:r>
        <w:r w:rsidR="006A3010">
          <w:rPr>
            <w:noProof/>
            <w:webHidden/>
          </w:rPr>
          <w:tab/>
        </w:r>
        <w:r w:rsidR="006A3010">
          <w:rPr>
            <w:noProof/>
            <w:webHidden/>
          </w:rPr>
          <w:fldChar w:fldCharType="begin"/>
        </w:r>
        <w:r w:rsidR="006A3010">
          <w:rPr>
            <w:noProof/>
            <w:webHidden/>
          </w:rPr>
          <w:instrText xml:space="preserve"> PAGEREF _Toc3477546 \h </w:instrText>
        </w:r>
        <w:r w:rsidR="006A3010">
          <w:rPr>
            <w:noProof/>
            <w:webHidden/>
          </w:rPr>
        </w:r>
        <w:r w:rsidR="006A3010">
          <w:rPr>
            <w:noProof/>
            <w:webHidden/>
          </w:rPr>
          <w:fldChar w:fldCharType="separate"/>
        </w:r>
        <w:r w:rsidR="006A3010">
          <w:rPr>
            <w:noProof/>
            <w:webHidden/>
          </w:rPr>
          <w:t>9</w:t>
        </w:r>
        <w:r w:rsidR="006A3010">
          <w:rPr>
            <w:noProof/>
            <w:webHidden/>
          </w:rPr>
          <w:fldChar w:fldCharType="end"/>
        </w:r>
      </w:hyperlink>
    </w:p>
    <w:p w:rsidR="006A3010" w:rsidRDefault="004311CA">
      <w:pPr>
        <w:pStyle w:val="TOC3"/>
        <w:rPr>
          <w:rFonts w:cstheme="minorBidi"/>
          <w:noProof/>
          <w:sz w:val="22"/>
          <w:szCs w:val="22"/>
        </w:rPr>
      </w:pPr>
      <w:hyperlink w:anchor="_Toc3477547" w:history="1">
        <w:r w:rsidR="006A3010" w:rsidRPr="00763CB3">
          <w:rPr>
            <w:rStyle w:val="Hyperlink"/>
            <w:noProof/>
          </w:rPr>
          <w:t>2.</w:t>
        </w:r>
        <w:r w:rsidR="006A3010">
          <w:rPr>
            <w:rFonts w:cstheme="minorBidi"/>
            <w:noProof/>
            <w:sz w:val="22"/>
            <w:szCs w:val="22"/>
          </w:rPr>
          <w:tab/>
        </w:r>
        <w:r w:rsidR="006A3010" w:rsidRPr="00763CB3">
          <w:rPr>
            <w:rStyle w:val="Hyperlink"/>
            <w:noProof/>
          </w:rPr>
          <w:t>Health and Dental Fund and Grant Fund</w:t>
        </w:r>
        <w:r w:rsidR="006A3010">
          <w:rPr>
            <w:noProof/>
            <w:webHidden/>
          </w:rPr>
          <w:tab/>
        </w:r>
        <w:r w:rsidR="006A3010">
          <w:rPr>
            <w:noProof/>
            <w:webHidden/>
          </w:rPr>
          <w:fldChar w:fldCharType="begin"/>
        </w:r>
        <w:r w:rsidR="006A3010">
          <w:rPr>
            <w:noProof/>
            <w:webHidden/>
          </w:rPr>
          <w:instrText xml:space="preserve"> PAGEREF _Toc3477547 \h </w:instrText>
        </w:r>
        <w:r w:rsidR="006A3010">
          <w:rPr>
            <w:noProof/>
            <w:webHidden/>
          </w:rPr>
        </w:r>
        <w:r w:rsidR="006A3010">
          <w:rPr>
            <w:noProof/>
            <w:webHidden/>
          </w:rPr>
          <w:fldChar w:fldCharType="separate"/>
        </w:r>
        <w:r w:rsidR="006A3010">
          <w:rPr>
            <w:noProof/>
            <w:webHidden/>
          </w:rPr>
          <w:t>10</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48" w:history="1">
        <w:r w:rsidR="006A3010" w:rsidRPr="00763CB3">
          <w:rPr>
            <w:rStyle w:val="Hyperlink"/>
            <w:noProof/>
            <w14:scene3d>
              <w14:camera w14:prst="orthographicFront"/>
              <w14:lightRig w14:rig="threePt" w14:dir="t">
                <w14:rot w14:lat="0" w14:lon="0" w14:rev="0"/>
              </w14:lightRig>
            </w14:scene3d>
          </w:rPr>
          <w:t>C.</w:t>
        </w:r>
        <w:r w:rsidR="006A3010">
          <w:rPr>
            <w:rFonts w:cstheme="minorBidi"/>
            <w:noProof/>
            <w:sz w:val="22"/>
            <w:szCs w:val="22"/>
          </w:rPr>
          <w:tab/>
        </w:r>
        <w:r w:rsidR="006A3010" w:rsidRPr="00763CB3">
          <w:rPr>
            <w:rStyle w:val="Hyperlink"/>
            <w:noProof/>
          </w:rPr>
          <w:t>Forensic Review</w:t>
        </w:r>
        <w:r w:rsidR="006A3010">
          <w:rPr>
            <w:noProof/>
            <w:webHidden/>
          </w:rPr>
          <w:tab/>
        </w:r>
        <w:r w:rsidR="006A3010">
          <w:rPr>
            <w:noProof/>
            <w:webHidden/>
          </w:rPr>
          <w:fldChar w:fldCharType="begin"/>
        </w:r>
        <w:r w:rsidR="006A3010">
          <w:rPr>
            <w:noProof/>
            <w:webHidden/>
          </w:rPr>
          <w:instrText xml:space="preserve"> PAGEREF _Toc3477548 \h </w:instrText>
        </w:r>
        <w:r w:rsidR="006A3010">
          <w:rPr>
            <w:noProof/>
            <w:webHidden/>
          </w:rPr>
        </w:r>
        <w:r w:rsidR="006A3010">
          <w:rPr>
            <w:noProof/>
            <w:webHidden/>
          </w:rPr>
          <w:fldChar w:fldCharType="separate"/>
        </w:r>
        <w:r w:rsidR="006A3010">
          <w:rPr>
            <w:noProof/>
            <w:webHidden/>
          </w:rPr>
          <w:t>11</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49" w:history="1">
        <w:r w:rsidR="006A3010" w:rsidRPr="00763CB3">
          <w:rPr>
            <w:rStyle w:val="Hyperlink"/>
            <w:noProof/>
            <w14:scene3d>
              <w14:camera w14:prst="orthographicFront"/>
              <w14:lightRig w14:rig="threePt" w14:dir="t">
                <w14:rot w14:lat="0" w14:lon="0" w14:rev="0"/>
              </w14:lightRig>
            </w14:scene3d>
          </w:rPr>
          <w:t>D.</w:t>
        </w:r>
        <w:r w:rsidR="006A3010">
          <w:rPr>
            <w:rFonts w:cstheme="minorBidi"/>
            <w:noProof/>
            <w:sz w:val="22"/>
            <w:szCs w:val="22"/>
          </w:rPr>
          <w:tab/>
        </w:r>
        <w:r w:rsidR="006A3010" w:rsidRPr="00763CB3">
          <w:rPr>
            <w:rStyle w:val="Hyperlink"/>
            <w:noProof/>
          </w:rPr>
          <w:t>Onsite Visit</w:t>
        </w:r>
        <w:r w:rsidR="006A3010">
          <w:rPr>
            <w:noProof/>
            <w:webHidden/>
          </w:rPr>
          <w:tab/>
        </w:r>
        <w:r w:rsidR="006A3010">
          <w:rPr>
            <w:noProof/>
            <w:webHidden/>
          </w:rPr>
          <w:fldChar w:fldCharType="begin"/>
        </w:r>
        <w:r w:rsidR="006A3010">
          <w:rPr>
            <w:noProof/>
            <w:webHidden/>
          </w:rPr>
          <w:instrText xml:space="preserve"> PAGEREF _Toc3477549 \h </w:instrText>
        </w:r>
        <w:r w:rsidR="006A3010">
          <w:rPr>
            <w:noProof/>
            <w:webHidden/>
          </w:rPr>
        </w:r>
        <w:r w:rsidR="006A3010">
          <w:rPr>
            <w:noProof/>
            <w:webHidden/>
          </w:rPr>
          <w:fldChar w:fldCharType="separate"/>
        </w:r>
        <w:r w:rsidR="006A3010">
          <w:rPr>
            <w:noProof/>
            <w:webHidden/>
          </w:rPr>
          <w:t>12</w:t>
        </w:r>
        <w:r w:rsidR="006A3010">
          <w:rPr>
            <w:noProof/>
            <w:webHidden/>
          </w:rPr>
          <w:fldChar w:fldCharType="end"/>
        </w:r>
      </w:hyperlink>
    </w:p>
    <w:p w:rsidR="006A3010" w:rsidRDefault="004311CA">
      <w:pPr>
        <w:pStyle w:val="TOC1"/>
        <w:rPr>
          <w:rFonts w:cstheme="minorBidi"/>
          <w:noProof/>
          <w:sz w:val="22"/>
          <w:szCs w:val="22"/>
        </w:rPr>
      </w:pPr>
      <w:hyperlink w:anchor="_Toc3477550" w:history="1">
        <w:r w:rsidR="006A3010" w:rsidRPr="00763CB3">
          <w:rPr>
            <w:rStyle w:val="Hyperlink"/>
            <w:noProof/>
          </w:rPr>
          <w:t>IV.</w:t>
        </w:r>
        <w:r w:rsidR="006A3010">
          <w:rPr>
            <w:rFonts w:cstheme="minorBidi"/>
            <w:noProof/>
            <w:sz w:val="22"/>
            <w:szCs w:val="22"/>
          </w:rPr>
          <w:tab/>
        </w:r>
        <w:r w:rsidR="006A3010" w:rsidRPr="00763CB3">
          <w:rPr>
            <w:rStyle w:val="Hyperlink"/>
            <w:noProof/>
          </w:rPr>
          <w:t>Observations and Findings</w:t>
        </w:r>
        <w:r w:rsidR="006A3010">
          <w:rPr>
            <w:noProof/>
            <w:webHidden/>
          </w:rPr>
          <w:tab/>
        </w:r>
        <w:r w:rsidR="006A3010">
          <w:rPr>
            <w:noProof/>
            <w:webHidden/>
          </w:rPr>
          <w:fldChar w:fldCharType="begin"/>
        </w:r>
        <w:r w:rsidR="006A3010">
          <w:rPr>
            <w:noProof/>
            <w:webHidden/>
          </w:rPr>
          <w:instrText xml:space="preserve"> PAGEREF _Toc3477550 \h </w:instrText>
        </w:r>
        <w:r w:rsidR="006A3010">
          <w:rPr>
            <w:noProof/>
            <w:webHidden/>
          </w:rPr>
        </w:r>
        <w:r w:rsidR="006A3010">
          <w:rPr>
            <w:noProof/>
            <w:webHidden/>
          </w:rPr>
          <w:fldChar w:fldCharType="separate"/>
        </w:r>
        <w:r w:rsidR="006A3010">
          <w:rPr>
            <w:noProof/>
            <w:webHidden/>
          </w:rPr>
          <w:t>14</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51" w:history="1">
        <w:r w:rsidR="006A3010" w:rsidRPr="00763CB3">
          <w:rPr>
            <w:rStyle w:val="Hyperlink"/>
            <w:noProof/>
            <w14:scene3d>
              <w14:camera w14:prst="orthographicFront"/>
              <w14:lightRig w14:rig="threePt" w14:dir="t">
                <w14:rot w14:lat="0" w14:lon="0" w14:rev="0"/>
              </w14:lightRig>
            </w14:scene3d>
          </w:rPr>
          <w:t>A.</w:t>
        </w:r>
        <w:r w:rsidR="006A3010">
          <w:rPr>
            <w:rFonts w:cstheme="minorBidi"/>
            <w:noProof/>
            <w:sz w:val="22"/>
            <w:szCs w:val="22"/>
          </w:rPr>
          <w:tab/>
        </w:r>
        <w:r w:rsidR="006A3010" w:rsidRPr="00763CB3">
          <w:rPr>
            <w:rStyle w:val="Hyperlink"/>
            <w:noProof/>
          </w:rPr>
          <w:t>Interviews</w:t>
        </w:r>
        <w:r w:rsidR="006A3010">
          <w:rPr>
            <w:noProof/>
            <w:webHidden/>
          </w:rPr>
          <w:tab/>
        </w:r>
        <w:r w:rsidR="006A3010">
          <w:rPr>
            <w:noProof/>
            <w:webHidden/>
          </w:rPr>
          <w:fldChar w:fldCharType="begin"/>
        </w:r>
        <w:r w:rsidR="006A3010">
          <w:rPr>
            <w:noProof/>
            <w:webHidden/>
          </w:rPr>
          <w:instrText xml:space="preserve"> PAGEREF _Toc3477551 \h </w:instrText>
        </w:r>
        <w:r w:rsidR="006A3010">
          <w:rPr>
            <w:noProof/>
            <w:webHidden/>
          </w:rPr>
        </w:r>
        <w:r w:rsidR="006A3010">
          <w:rPr>
            <w:noProof/>
            <w:webHidden/>
          </w:rPr>
          <w:fldChar w:fldCharType="separate"/>
        </w:r>
        <w:r w:rsidR="006A3010">
          <w:rPr>
            <w:noProof/>
            <w:webHidden/>
          </w:rPr>
          <w:t>14</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52" w:history="1">
        <w:r w:rsidR="006A3010" w:rsidRPr="00763CB3">
          <w:rPr>
            <w:rStyle w:val="Hyperlink"/>
            <w:noProof/>
            <w14:scene3d>
              <w14:camera w14:prst="orthographicFront"/>
              <w14:lightRig w14:rig="threePt" w14:dir="t">
                <w14:rot w14:lat="0" w14:lon="0" w14:rev="0"/>
              </w14:lightRig>
            </w14:scene3d>
          </w:rPr>
          <w:t>B.</w:t>
        </w:r>
        <w:r w:rsidR="006A3010">
          <w:rPr>
            <w:rFonts w:cstheme="minorBidi"/>
            <w:noProof/>
            <w:sz w:val="22"/>
            <w:szCs w:val="22"/>
          </w:rPr>
          <w:tab/>
        </w:r>
        <w:r w:rsidR="006A3010" w:rsidRPr="00763CB3">
          <w:rPr>
            <w:rStyle w:val="Hyperlink"/>
            <w:noProof/>
          </w:rPr>
          <w:t>Document Review And Analysis</w:t>
        </w:r>
        <w:r w:rsidR="006A3010">
          <w:rPr>
            <w:noProof/>
            <w:webHidden/>
          </w:rPr>
          <w:tab/>
        </w:r>
        <w:r w:rsidR="006A3010">
          <w:rPr>
            <w:noProof/>
            <w:webHidden/>
          </w:rPr>
          <w:fldChar w:fldCharType="begin"/>
        </w:r>
        <w:r w:rsidR="006A3010">
          <w:rPr>
            <w:noProof/>
            <w:webHidden/>
          </w:rPr>
          <w:instrText xml:space="preserve"> PAGEREF _Toc3477552 \h </w:instrText>
        </w:r>
        <w:r w:rsidR="006A3010">
          <w:rPr>
            <w:noProof/>
            <w:webHidden/>
          </w:rPr>
        </w:r>
        <w:r w:rsidR="006A3010">
          <w:rPr>
            <w:noProof/>
            <w:webHidden/>
          </w:rPr>
          <w:fldChar w:fldCharType="separate"/>
        </w:r>
        <w:r w:rsidR="006A3010">
          <w:rPr>
            <w:noProof/>
            <w:webHidden/>
          </w:rPr>
          <w:t>14</w:t>
        </w:r>
        <w:r w:rsidR="006A3010">
          <w:rPr>
            <w:noProof/>
            <w:webHidden/>
          </w:rPr>
          <w:fldChar w:fldCharType="end"/>
        </w:r>
      </w:hyperlink>
    </w:p>
    <w:p w:rsidR="006A3010" w:rsidRDefault="004311CA">
      <w:pPr>
        <w:pStyle w:val="TOC3"/>
        <w:rPr>
          <w:rFonts w:cstheme="minorBidi"/>
          <w:noProof/>
          <w:sz w:val="22"/>
          <w:szCs w:val="22"/>
        </w:rPr>
      </w:pPr>
      <w:hyperlink w:anchor="_Toc3477553" w:history="1">
        <w:r w:rsidR="006A3010" w:rsidRPr="00763CB3">
          <w:rPr>
            <w:rStyle w:val="Hyperlink"/>
            <w:noProof/>
          </w:rPr>
          <w:t>1.</w:t>
        </w:r>
        <w:r w:rsidR="006A3010">
          <w:rPr>
            <w:rFonts w:cstheme="minorBidi"/>
            <w:noProof/>
            <w:sz w:val="22"/>
            <w:szCs w:val="22"/>
          </w:rPr>
          <w:tab/>
        </w:r>
        <w:r w:rsidR="006A3010" w:rsidRPr="00763CB3">
          <w:rPr>
            <w:rStyle w:val="Hyperlink"/>
            <w:noProof/>
          </w:rPr>
          <w:t>Preliminary Review and Analyses</w:t>
        </w:r>
        <w:r w:rsidR="006A3010">
          <w:rPr>
            <w:noProof/>
            <w:webHidden/>
          </w:rPr>
          <w:tab/>
        </w:r>
        <w:r w:rsidR="006A3010">
          <w:rPr>
            <w:noProof/>
            <w:webHidden/>
          </w:rPr>
          <w:fldChar w:fldCharType="begin"/>
        </w:r>
        <w:r w:rsidR="006A3010">
          <w:rPr>
            <w:noProof/>
            <w:webHidden/>
          </w:rPr>
          <w:instrText xml:space="preserve"> PAGEREF _Toc3477553 \h </w:instrText>
        </w:r>
        <w:r w:rsidR="006A3010">
          <w:rPr>
            <w:noProof/>
            <w:webHidden/>
          </w:rPr>
        </w:r>
        <w:r w:rsidR="006A3010">
          <w:rPr>
            <w:noProof/>
            <w:webHidden/>
          </w:rPr>
          <w:fldChar w:fldCharType="separate"/>
        </w:r>
        <w:r w:rsidR="006A3010">
          <w:rPr>
            <w:noProof/>
            <w:webHidden/>
          </w:rPr>
          <w:t>14</w:t>
        </w:r>
        <w:r w:rsidR="006A3010">
          <w:rPr>
            <w:noProof/>
            <w:webHidden/>
          </w:rPr>
          <w:fldChar w:fldCharType="end"/>
        </w:r>
      </w:hyperlink>
    </w:p>
    <w:p w:rsidR="006A3010" w:rsidRDefault="004311CA">
      <w:pPr>
        <w:pStyle w:val="TOC3"/>
        <w:rPr>
          <w:rFonts w:cstheme="minorBidi"/>
          <w:noProof/>
          <w:sz w:val="22"/>
          <w:szCs w:val="22"/>
        </w:rPr>
      </w:pPr>
      <w:hyperlink w:anchor="_Toc3477554" w:history="1">
        <w:r w:rsidR="006A3010" w:rsidRPr="00763CB3">
          <w:rPr>
            <w:rStyle w:val="Hyperlink"/>
            <w:noProof/>
          </w:rPr>
          <w:t>2.</w:t>
        </w:r>
        <w:r w:rsidR="006A3010">
          <w:rPr>
            <w:rFonts w:cstheme="minorBidi"/>
            <w:noProof/>
            <w:sz w:val="22"/>
            <w:szCs w:val="22"/>
          </w:rPr>
          <w:tab/>
        </w:r>
        <w:r w:rsidR="006A3010" w:rsidRPr="00763CB3">
          <w:rPr>
            <w:rStyle w:val="Hyperlink"/>
            <w:noProof/>
          </w:rPr>
          <w:t>Health and Dental Fund and Grant Fund</w:t>
        </w:r>
        <w:r w:rsidR="006A3010">
          <w:rPr>
            <w:noProof/>
            <w:webHidden/>
          </w:rPr>
          <w:tab/>
        </w:r>
        <w:r w:rsidR="006A3010">
          <w:rPr>
            <w:noProof/>
            <w:webHidden/>
          </w:rPr>
          <w:fldChar w:fldCharType="begin"/>
        </w:r>
        <w:r w:rsidR="006A3010">
          <w:rPr>
            <w:noProof/>
            <w:webHidden/>
          </w:rPr>
          <w:instrText xml:space="preserve"> PAGEREF _Toc3477554 \h </w:instrText>
        </w:r>
        <w:r w:rsidR="006A3010">
          <w:rPr>
            <w:noProof/>
            <w:webHidden/>
          </w:rPr>
        </w:r>
        <w:r w:rsidR="006A3010">
          <w:rPr>
            <w:noProof/>
            <w:webHidden/>
          </w:rPr>
          <w:fldChar w:fldCharType="separate"/>
        </w:r>
        <w:r w:rsidR="006A3010">
          <w:rPr>
            <w:noProof/>
            <w:webHidden/>
          </w:rPr>
          <w:t>17</w:t>
        </w:r>
        <w:r w:rsidR="006A3010">
          <w:rPr>
            <w:noProof/>
            <w:webHidden/>
          </w:rPr>
          <w:fldChar w:fldCharType="end"/>
        </w:r>
      </w:hyperlink>
    </w:p>
    <w:p w:rsidR="006A3010" w:rsidRDefault="004311CA">
      <w:pPr>
        <w:pStyle w:val="TOC2"/>
        <w:tabs>
          <w:tab w:val="left" w:pos="1170"/>
        </w:tabs>
        <w:rPr>
          <w:rFonts w:cstheme="minorBidi"/>
          <w:noProof/>
          <w:sz w:val="22"/>
          <w:szCs w:val="22"/>
        </w:rPr>
      </w:pPr>
      <w:hyperlink w:anchor="_Toc3477555" w:history="1">
        <w:r w:rsidR="006A3010" w:rsidRPr="00763CB3">
          <w:rPr>
            <w:rStyle w:val="Hyperlink"/>
            <w:noProof/>
            <w14:scene3d>
              <w14:camera w14:prst="orthographicFront"/>
              <w14:lightRig w14:rig="threePt" w14:dir="t">
                <w14:rot w14:lat="0" w14:lon="0" w14:rev="0"/>
              </w14:lightRig>
            </w14:scene3d>
          </w:rPr>
          <w:t>C.</w:t>
        </w:r>
        <w:r w:rsidR="006A3010">
          <w:rPr>
            <w:rFonts w:cstheme="minorBidi"/>
            <w:noProof/>
            <w:sz w:val="22"/>
            <w:szCs w:val="22"/>
          </w:rPr>
          <w:tab/>
        </w:r>
        <w:r w:rsidR="006A3010" w:rsidRPr="00763CB3">
          <w:rPr>
            <w:rStyle w:val="Hyperlink"/>
            <w:noProof/>
          </w:rPr>
          <w:t>Forensic Review</w:t>
        </w:r>
        <w:r w:rsidR="006A3010">
          <w:rPr>
            <w:noProof/>
            <w:webHidden/>
          </w:rPr>
          <w:tab/>
        </w:r>
        <w:r w:rsidR="006A3010">
          <w:rPr>
            <w:noProof/>
            <w:webHidden/>
          </w:rPr>
          <w:fldChar w:fldCharType="begin"/>
        </w:r>
        <w:r w:rsidR="006A3010">
          <w:rPr>
            <w:noProof/>
            <w:webHidden/>
          </w:rPr>
          <w:instrText xml:space="preserve"> PAGEREF _Toc3477555 \h </w:instrText>
        </w:r>
        <w:r w:rsidR="006A3010">
          <w:rPr>
            <w:noProof/>
            <w:webHidden/>
          </w:rPr>
        </w:r>
        <w:r w:rsidR="006A3010">
          <w:rPr>
            <w:noProof/>
            <w:webHidden/>
          </w:rPr>
          <w:fldChar w:fldCharType="separate"/>
        </w:r>
        <w:r w:rsidR="006A3010">
          <w:rPr>
            <w:noProof/>
            <w:webHidden/>
          </w:rPr>
          <w:t>19</w:t>
        </w:r>
        <w:r w:rsidR="006A3010">
          <w:rPr>
            <w:noProof/>
            <w:webHidden/>
          </w:rPr>
          <w:fldChar w:fldCharType="end"/>
        </w:r>
      </w:hyperlink>
    </w:p>
    <w:p w:rsidR="006A3010" w:rsidRDefault="004311CA">
      <w:pPr>
        <w:pStyle w:val="TOC3"/>
        <w:rPr>
          <w:rFonts w:cstheme="minorBidi"/>
          <w:noProof/>
          <w:sz w:val="22"/>
          <w:szCs w:val="22"/>
        </w:rPr>
      </w:pPr>
      <w:hyperlink w:anchor="_Toc3477556" w:history="1">
        <w:r w:rsidR="006A3010" w:rsidRPr="00763CB3">
          <w:rPr>
            <w:rStyle w:val="Hyperlink"/>
            <w:noProof/>
          </w:rPr>
          <w:t>1.</w:t>
        </w:r>
        <w:r w:rsidR="006A3010">
          <w:rPr>
            <w:rFonts w:cstheme="minorBidi"/>
            <w:noProof/>
            <w:sz w:val="22"/>
            <w:szCs w:val="22"/>
          </w:rPr>
          <w:tab/>
        </w:r>
        <w:r w:rsidR="006A3010" w:rsidRPr="00763CB3">
          <w:rPr>
            <w:rStyle w:val="Hyperlink"/>
            <w:noProof/>
          </w:rPr>
          <w:t>Health and Dental Fund</w:t>
        </w:r>
        <w:r w:rsidR="006A3010">
          <w:rPr>
            <w:noProof/>
            <w:webHidden/>
          </w:rPr>
          <w:tab/>
        </w:r>
        <w:r w:rsidR="006A3010">
          <w:rPr>
            <w:noProof/>
            <w:webHidden/>
          </w:rPr>
          <w:fldChar w:fldCharType="begin"/>
        </w:r>
        <w:r w:rsidR="006A3010">
          <w:rPr>
            <w:noProof/>
            <w:webHidden/>
          </w:rPr>
          <w:instrText xml:space="preserve"> PAGEREF _Toc3477556 \h </w:instrText>
        </w:r>
        <w:r w:rsidR="006A3010">
          <w:rPr>
            <w:noProof/>
            <w:webHidden/>
          </w:rPr>
        </w:r>
        <w:r w:rsidR="006A3010">
          <w:rPr>
            <w:noProof/>
            <w:webHidden/>
          </w:rPr>
          <w:fldChar w:fldCharType="separate"/>
        </w:r>
        <w:r w:rsidR="006A3010">
          <w:rPr>
            <w:noProof/>
            <w:webHidden/>
          </w:rPr>
          <w:t>19</w:t>
        </w:r>
        <w:r w:rsidR="006A3010">
          <w:rPr>
            <w:noProof/>
            <w:webHidden/>
          </w:rPr>
          <w:fldChar w:fldCharType="end"/>
        </w:r>
      </w:hyperlink>
    </w:p>
    <w:p w:rsidR="006A3010" w:rsidRDefault="004311CA">
      <w:pPr>
        <w:pStyle w:val="TOC3"/>
        <w:rPr>
          <w:rFonts w:cstheme="minorBidi"/>
          <w:noProof/>
          <w:sz w:val="22"/>
          <w:szCs w:val="22"/>
        </w:rPr>
      </w:pPr>
      <w:hyperlink w:anchor="_Toc3477557" w:history="1">
        <w:r w:rsidR="006A3010" w:rsidRPr="00763CB3">
          <w:rPr>
            <w:rStyle w:val="Hyperlink"/>
            <w:noProof/>
          </w:rPr>
          <w:t>2.</w:t>
        </w:r>
        <w:r w:rsidR="006A3010">
          <w:rPr>
            <w:rFonts w:cstheme="minorBidi"/>
            <w:noProof/>
            <w:sz w:val="22"/>
            <w:szCs w:val="22"/>
          </w:rPr>
          <w:tab/>
        </w:r>
        <w:r w:rsidR="006A3010" w:rsidRPr="00763CB3">
          <w:rPr>
            <w:rStyle w:val="Hyperlink"/>
            <w:noProof/>
          </w:rPr>
          <w:t>Grant Fund</w:t>
        </w:r>
        <w:r w:rsidR="006A3010">
          <w:rPr>
            <w:noProof/>
            <w:webHidden/>
          </w:rPr>
          <w:tab/>
        </w:r>
        <w:r w:rsidR="006A3010">
          <w:rPr>
            <w:noProof/>
            <w:webHidden/>
          </w:rPr>
          <w:fldChar w:fldCharType="begin"/>
        </w:r>
        <w:r w:rsidR="006A3010">
          <w:rPr>
            <w:noProof/>
            <w:webHidden/>
          </w:rPr>
          <w:instrText xml:space="preserve"> PAGEREF _Toc3477557 \h </w:instrText>
        </w:r>
        <w:r w:rsidR="006A3010">
          <w:rPr>
            <w:noProof/>
            <w:webHidden/>
          </w:rPr>
        </w:r>
        <w:r w:rsidR="006A3010">
          <w:rPr>
            <w:noProof/>
            <w:webHidden/>
          </w:rPr>
          <w:fldChar w:fldCharType="separate"/>
        </w:r>
        <w:r w:rsidR="006A3010">
          <w:rPr>
            <w:noProof/>
            <w:webHidden/>
          </w:rPr>
          <w:t>24</w:t>
        </w:r>
        <w:r w:rsidR="006A3010">
          <w:rPr>
            <w:noProof/>
            <w:webHidden/>
          </w:rPr>
          <w:fldChar w:fldCharType="end"/>
        </w:r>
      </w:hyperlink>
    </w:p>
    <w:p w:rsidR="006A3010" w:rsidRDefault="004311CA">
      <w:pPr>
        <w:pStyle w:val="TOC1"/>
        <w:rPr>
          <w:rFonts w:cstheme="minorBidi"/>
          <w:noProof/>
          <w:sz w:val="22"/>
          <w:szCs w:val="22"/>
        </w:rPr>
      </w:pPr>
      <w:hyperlink w:anchor="_Toc3477558" w:history="1">
        <w:r w:rsidR="006A3010" w:rsidRPr="00763CB3">
          <w:rPr>
            <w:rStyle w:val="Hyperlink"/>
            <w:noProof/>
          </w:rPr>
          <w:t>V.</w:t>
        </w:r>
        <w:r w:rsidR="006A3010">
          <w:rPr>
            <w:rFonts w:cstheme="minorBidi"/>
            <w:noProof/>
            <w:sz w:val="22"/>
            <w:szCs w:val="22"/>
          </w:rPr>
          <w:tab/>
        </w:r>
        <w:r w:rsidR="006A3010" w:rsidRPr="00763CB3">
          <w:rPr>
            <w:rStyle w:val="Hyperlink"/>
            <w:noProof/>
          </w:rPr>
          <w:t>Conclusion and Recommendations</w:t>
        </w:r>
        <w:r w:rsidR="006A3010">
          <w:rPr>
            <w:noProof/>
            <w:webHidden/>
          </w:rPr>
          <w:tab/>
        </w:r>
        <w:r w:rsidR="006A3010">
          <w:rPr>
            <w:noProof/>
            <w:webHidden/>
          </w:rPr>
          <w:fldChar w:fldCharType="begin"/>
        </w:r>
        <w:r w:rsidR="006A3010">
          <w:rPr>
            <w:noProof/>
            <w:webHidden/>
          </w:rPr>
          <w:instrText xml:space="preserve"> PAGEREF _Toc3477558 \h </w:instrText>
        </w:r>
        <w:r w:rsidR="006A3010">
          <w:rPr>
            <w:noProof/>
            <w:webHidden/>
          </w:rPr>
        </w:r>
        <w:r w:rsidR="006A3010">
          <w:rPr>
            <w:noProof/>
            <w:webHidden/>
          </w:rPr>
          <w:fldChar w:fldCharType="separate"/>
        </w:r>
        <w:r w:rsidR="006A3010">
          <w:rPr>
            <w:noProof/>
            <w:webHidden/>
          </w:rPr>
          <w:t>25</w:t>
        </w:r>
        <w:r w:rsidR="006A3010">
          <w:rPr>
            <w:noProof/>
            <w:webHidden/>
          </w:rPr>
          <w:fldChar w:fldCharType="end"/>
        </w:r>
      </w:hyperlink>
    </w:p>
    <w:p w:rsidR="00446B94" w:rsidRDefault="00A23D8A" w:rsidP="00446B94">
      <w:r w:rsidRPr="00790660">
        <w:fldChar w:fldCharType="end"/>
      </w:r>
    </w:p>
    <w:p w:rsidR="008C6EF6" w:rsidRPr="00790660" w:rsidRDefault="008C6EF6" w:rsidP="00446B94"/>
    <w:p w:rsidR="00446B94" w:rsidRPr="00790660" w:rsidRDefault="00446B94" w:rsidP="00446B94"/>
    <w:p w:rsidR="006A24FE" w:rsidRPr="00790660" w:rsidRDefault="006A24FE" w:rsidP="001A3936">
      <w:pPr>
        <w:pStyle w:val="Subtitle"/>
        <w:keepNext/>
      </w:pPr>
      <w:r w:rsidRPr="00790660">
        <w:t>List of Exhibits</w:t>
      </w:r>
    </w:p>
    <w:p w:rsidR="00C942A2" w:rsidRDefault="00BD0F1B" w:rsidP="00BD0F1B">
      <w:pPr>
        <w:pStyle w:val="NoSpacing"/>
      </w:pPr>
      <w:r w:rsidRPr="00790660">
        <w:t xml:space="preserve">Exhibit 1 – Curriculum Vitae of </w:t>
      </w:r>
      <w:r>
        <w:t>Brian Sanvidge</w:t>
      </w:r>
      <w:r w:rsidRPr="00790660">
        <w:t xml:space="preserve"> </w:t>
      </w:r>
    </w:p>
    <w:p w:rsidR="00C942A2" w:rsidRPr="00C942A2" w:rsidRDefault="00C942A2" w:rsidP="00BD0F1B">
      <w:pPr>
        <w:pStyle w:val="NoSpacing"/>
      </w:pPr>
      <w:r>
        <w:t>Exhibit 2 - American Institute of Certified Public Accountants Forensic &amp; Valuation Services Practice Aid: Forensic Accounting – Fraud Investigations</w:t>
      </w:r>
    </w:p>
    <w:p w:rsidR="00C942A2" w:rsidRDefault="00C942A2" w:rsidP="00B224B8">
      <w:pPr>
        <w:pStyle w:val="NoSpacing"/>
        <w:sectPr w:rsidR="00C942A2" w:rsidSect="00301A7C">
          <w:headerReference w:type="even" r:id="rId13"/>
          <w:headerReference w:type="default" r:id="rId14"/>
          <w:footerReference w:type="default" r:id="rId15"/>
          <w:headerReference w:type="first" r:id="rId16"/>
          <w:footerReference w:type="first" r:id="rId17"/>
          <w:endnotePr>
            <w:numFmt w:val="decimal"/>
          </w:endnotePr>
          <w:pgSz w:w="12240" w:h="15840"/>
          <w:pgMar w:top="1440" w:right="1440" w:bottom="1440" w:left="1440" w:header="720" w:footer="720" w:gutter="0"/>
          <w:pgNumType w:start="1"/>
          <w:cols w:space="720"/>
          <w:titlePg/>
          <w:docGrid w:linePitch="360"/>
        </w:sectPr>
      </w:pPr>
    </w:p>
    <w:p w:rsidR="00EF2E6F" w:rsidRPr="00790660" w:rsidRDefault="00EF2E6F" w:rsidP="004A4000">
      <w:pPr>
        <w:pStyle w:val="Heading1"/>
      </w:pPr>
      <w:bookmarkStart w:id="1" w:name="_Toc388360754"/>
      <w:bookmarkStart w:id="2" w:name="_Toc388360878"/>
      <w:bookmarkStart w:id="3" w:name="_Toc388360927"/>
      <w:bookmarkStart w:id="4" w:name="_Toc3477533"/>
      <w:r w:rsidRPr="00790660">
        <w:lastRenderedPageBreak/>
        <w:t>Overview</w:t>
      </w:r>
      <w:bookmarkEnd w:id="1"/>
      <w:bookmarkEnd w:id="2"/>
      <w:bookmarkEnd w:id="3"/>
      <w:bookmarkEnd w:id="4"/>
    </w:p>
    <w:p w:rsidR="00BC5F09" w:rsidRDefault="00BC5F09" w:rsidP="001F4CD5">
      <w:pPr>
        <w:pStyle w:val="Heading2"/>
      </w:pPr>
      <w:bookmarkStart w:id="5" w:name="_Toc388360755"/>
      <w:bookmarkStart w:id="6" w:name="_Toc388360879"/>
      <w:bookmarkStart w:id="7" w:name="_Toc388360928"/>
      <w:bookmarkStart w:id="8" w:name="_Toc3477534"/>
      <w:r w:rsidRPr="00790660">
        <w:t xml:space="preserve">Retention </w:t>
      </w:r>
      <w:r w:rsidR="00C37D1E" w:rsidRPr="00790660">
        <w:t>and Scope</w:t>
      </w:r>
      <w:bookmarkEnd w:id="5"/>
      <w:bookmarkEnd w:id="6"/>
      <w:bookmarkEnd w:id="7"/>
      <w:bookmarkEnd w:id="8"/>
    </w:p>
    <w:p w:rsidR="001F4CD5" w:rsidRPr="001F4CD5" w:rsidRDefault="00932D9D" w:rsidP="001F4CD5">
      <w:pPr>
        <w:pStyle w:val="Double"/>
      </w:pPr>
      <w:r>
        <w:t>The Howard County Public School System (“</w:t>
      </w:r>
      <w:r w:rsidRPr="0057359B">
        <w:rPr>
          <w:u w:val="single"/>
        </w:rPr>
        <w:t>HCPSS</w:t>
      </w:r>
      <w:r>
        <w:t xml:space="preserve">”) retained </w:t>
      </w:r>
      <w:r w:rsidR="00545E76">
        <w:t>Baker</w:t>
      </w:r>
      <w:r>
        <w:t xml:space="preserve"> </w:t>
      </w:r>
      <w:r w:rsidR="00545E76">
        <w:t>Tilly</w:t>
      </w:r>
      <w:r>
        <w:t xml:space="preserve"> Virchow Krause, LLP (“</w:t>
      </w:r>
      <w:r w:rsidR="00545E76">
        <w:rPr>
          <w:u w:val="single"/>
        </w:rPr>
        <w:t>Baker</w:t>
      </w:r>
      <w:r>
        <w:rPr>
          <w:u w:val="single"/>
        </w:rPr>
        <w:t xml:space="preserve"> </w:t>
      </w:r>
      <w:r w:rsidR="00545E76">
        <w:rPr>
          <w:u w:val="single"/>
        </w:rPr>
        <w:t>Tilly</w:t>
      </w:r>
      <w:r>
        <w:t xml:space="preserve">”) </w:t>
      </w:r>
      <w:r w:rsidR="0057359B">
        <w:t xml:space="preserve">on December 19, 2017 </w:t>
      </w:r>
      <w:r>
        <w:t xml:space="preserve">to </w:t>
      </w:r>
      <w:r w:rsidR="00AF0DC8" w:rsidRPr="00AF0DC8">
        <w:t xml:space="preserve">conduct two (2) </w:t>
      </w:r>
      <w:r w:rsidR="00AF0DC8" w:rsidRPr="00600CDC">
        <w:t xml:space="preserve">forensic </w:t>
      </w:r>
      <w:r w:rsidR="00600CDC">
        <w:t>reviews</w:t>
      </w:r>
      <w:r w:rsidR="00AF0DC8" w:rsidRPr="00AF0DC8">
        <w:t xml:space="preserve"> for the Board of Education of Howard County</w:t>
      </w:r>
      <w:r w:rsidR="0057359B">
        <w:t xml:space="preserve"> for the fiscal year (“</w:t>
      </w:r>
      <w:r w:rsidR="0057359B" w:rsidRPr="0057359B">
        <w:rPr>
          <w:u w:val="single"/>
        </w:rPr>
        <w:t>FY</w:t>
      </w:r>
      <w:r w:rsidR="0057359B">
        <w:t>”) 2013 through FY 2017 (“</w:t>
      </w:r>
      <w:r w:rsidR="0057359B" w:rsidRPr="0057359B">
        <w:rPr>
          <w:u w:val="single"/>
        </w:rPr>
        <w:t>Relevant Period</w:t>
      </w:r>
      <w:r w:rsidR="0057359B">
        <w:t>”)</w:t>
      </w:r>
      <w:r w:rsidR="00AF0DC8" w:rsidRPr="00AF0DC8">
        <w:t>.</w:t>
      </w:r>
      <w:r w:rsidR="00E104A8">
        <w:t xml:space="preserve"> </w:t>
      </w:r>
      <w:r w:rsidR="0057359B">
        <w:t xml:space="preserve"> The first forensic </w:t>
      </w:r>
      <w:r w:rsidR="004229DE">
        <w:t>review</w:t>
      </w:r>
      <w:r w:rsidR="0057359B">
        <w:t xml:space="preserve"> involves the Health and Dental </w:t>
      </w:r>
      <w:r w:rsidR="00545E76">
        <w:t>Fund</w:t>
      </w:r>
      <w:r w:rsidR="0057359B">
        <w:t xml:space="preserve">, and the second involves the Grant </w:t>
      </w:r>
      <w:r w:rsidR="00545E76">
        <w:t>Fund</w:t>
      </w:r>
      <w:r w:rsidR="00E104A8">
        <w:t xml:space="preserve">.  </w:t>
      </w:r>
      <w:r w:rsidR="0057359B">
        <w:t xml:space="preserve">This Report of </w:t>
      </w:r>
      <w:r w:rsidR="00CE690A">
        <w:t>Forensic Review</w:t>
      </w:r>
      <w:r w:rsidR="0057359B">
        <w:t xml:space="preserve"> (“</w:t>
      </w:r>
      <w:r w:rsidR="0057359B" w:rsidRPr="0057359B">
        <w:rPr>
          <w:u w:val="single"/>
        </w:rPr>
        <w:t>Report</w:t>
      </w:r>
      <w:r w:rsidR="0057359B">
        <w:t>”) documents the pro</w:t>
      </w:r>
      <w:r w:rsidR="004A5DE8">
        <w:t xml:space="preserve">cedures performed, findings, </w:t>
      </w:r>
      <w:r w:rsidR="0057359B">
        <w:t>observations</w:t>
      </w:r>
      <w:r w:rsidR="0014786D">
        <w:t>,</w:t>
      </w:r>
      <w:r w:rsidR="004A5DE8">
        <w:t xml:space="preserve"> and recommendations.</w:t>
      </w:r>
    </w:p>
    <w:p w:rsidR="00BC5F09" w:rsidRDefault="00BC5F09" w:rsidP="001F4CD5">
      <w:pPr>
        <w:pStyle w:val="Heading2"/>
      </w:pPr>
      <w:bookmarkStart w:id="9" w:name="_Toc388360756"/>
      <w:bookmarkStart w:id="10" w:name="_Toc388360880"/>
      <w:bookmarkStart w:id="11" w:name="_Toc388360929"/>
      <w:bookmarkStart w:id="12" w:name="_Toc3477535"/>
      <w:r w:rsidRPr="009C2B8E">
        <w:t>Qualifications</w:t>
      </w:r>
      <w:bookmarkEnd w:id="9"/>
      <w:bookmarkEnd w:id="10"/>
      <w:bookmarkEnd w:id="11"/>
      <w:bookmarkEnd w:id="12"/>
    </w:p>
    <w:p w:rsidR="00731FBA" w:rsidRDefault="00731FBA" w:rsidP="00731FBA">
      <w:pPr>
        <w:pStyle w:val="Heading3"/>
      </w:pPr>
      <w:bookmarkStart w:id="13" w:name="_Toc3477536"/>
      <w:r>
        <w:t>Brian Sanvidge Qualifications</w:t>
      </w:r>
      <w:bookmarkEnd w:id="13"/>
    </w:p>
    <w:p w:rsidR="00731FBA" w:rsidRDefault="00731FBA" w:rsidP="00731FBA">
      <w:pPr>
        <w:pStyle w:val="Double"/>
      </w:pPr>
      <w:r>
        <w:t xml:space="preserve">I am a Principal at </w:t>
      </w:r>
      <w:r w:rsidR="00545E76">
        <w:t>Baker</w:t>
      </w:r>
      <w:r>
        <w:t xml:space="preserve"> </w:t>
      </w:r>
      <w:r w:rsidR="00545E76">
        <w:t>Tilly</w:t>
      </w:r>
      <w:r>
        <w:t>, an accounting and advisory firm, in the Forensic, Litigation &amp; Valuation Services (the “</w:t>
      </w:r>
      <w:r w:rsidRPr="0014786D">
        <w:rPr>
          <w:u w:val="single"/>
        </w:rPr>
        <w:t>FLVS</w:t>
      </w:r>
      <w:r>
        <w:t>”) practice</w:t>
      </w:r>
      <w:r w:rsidR="00E104A8">
        <w:t xml:space="preserve">.  </w:t>
      </w:r>
      <w:r>
        <w:t xml:space="preserve">I have over 33 years of experience working with public and private sector entities, leading investigations into fraud, waste, and abuse, compliance with regulations, consent orders and contracts, labor practices, disaster recovery services, and business continuity. </w:t>
      </w:r>
      <w:r w:rsidR="0014786D">
        <w:t xml:space="preserve"> </w:t>
      </w:r>
    </w:p>
    <w:p w:rsidR="00BA0184" w:rsidRDefault="00BA0184" w:rsidP="00BA0184">
      <w:pPr>
        <w:pStyle w:val="Double"/>
      </w:pPr>
      <w:r>
        <w:t xml:space="preserve">I have been a Principal with Baker Tilly for five (5) years, specializing in fraud and forensic investigations, data analysis and computer forensics, and monitorship services within the public sector.  My industry specialization, in addition to public sector work, includes construction, hospitality, and healthcare/pharmaceuticals.  </w:t>
      </w:r>
    </w:p>
    <w:p w:rsidR="00731FBA" w:rsidRDefault="00731FBA" w:rsidP="00731FBA">
      <w:pPr>
        <w:pStyle w:val="Double"/>
      </w:pPr>
      <w:r>
        <w:t>I have 25 years of government experience</w:t>
      </w:r>
      <w:r w:rsidR="00E104A8">
        <w:t xml:space="preserve">.  </w:t>
      </w:r>
      <w:r>
        <w:t>I was an Inspector General for 12 years, 10 of which were for the New York State Department of Labor (the “</w:t>
      </w:r>
      <w:r w:rsidRPr="0014786D">
        <w:rPr>
          <w:u w:val="single"/>
        </w:rPr>
        <w:t>DOL</w:t>
      </w:r>
      <w:r>
        <w:t>”)</w:t>
      </w:r>
      <w:r w:rsidR="00E104A8">
        <w:t xml:space="preserve">.  </w:t>
      </w:r>
      <w:r>
        <w:t xml:space="preserve">I oversaw 5,000 civil and criminal investigations conducted by the DOL that resulted in criminal convictions and civil restitution of </w:t>
      </w:r>
      <w:r w:rsidR="00BA0184">
        <w:t xml:space="preserve">approximately </w:t>
      </w:r>
      <w:r>
        <w:t>$250 million.</w:t>
      </w:r>
      <w:r w:rsidR="0014786D">
        <w:t xml:space="preserve">  </w:t>
      </w:r>
    </w:p>
    <w:p w:rsidR="00731FBA" w:rsidRDefault="00731FBA" w:rsidP="00731FBA">
      <w:pPr>
        <w:pStyle w:val="Double"/>
      </w:pPr>
      <w:r>
        <w:lastRenderedPageBreak/>
        <w:t>I have been qualified as an expert witness in financial crimes in state and federal court systems as well as in American Arbitration Association (“</w:t>
      </w:r>
      <w:r w:rsidRPr="0014786D">
        <w:rPr>
          <w:u w:val="single"/>
        </w:rPr>
        <w:t>AAA</w:t>
      </w:r>
      <w:r>
        <w:t>”) arbitrations</w:t>
      </w:r>
      <w:r w:rsidR="00E104A8">
        <w:t xml:space="preserve">.  </w:t>
      </w:r>
      <w:r>
        <w:t>I am a Certified Inspector General and a Certified Fraud Examiner</w:t>
      </w:r>
      <w:r w:rsidR="00E104A8">
        <w:t xml:space="preserve">.  </w:t>
      </w:r>
      <w:r>
        <w:t>I am also a Certified Financial Records Expert Witness, certified by the National White Collar Crime Center.</w:t>
      </w:r>
      <w:r w:rsidR="0014786D">
        <w:t xml:space="preserve">  </w:t>
      </w:r>
    </w:p>
    <w:p w:rsidR="00731FBA" w:rsidRDefault="00731FBA" w:rsidP="00731FBA">
      <w:pPr>
        <w:pStyle w:val="Double"/>
      </w:pPr>
      <w:r>
        <w:t>I have lectured nationally on labor law, business fraud, white-collar crime, and tax fraud, as well as regulatory compliance and government investigations</w:t>
      </w:r>
      <w:r w:rsidR="00E104A8">
        <w:t xml:space="preserve">.  </w:t>
      </w:r>
      <w:r>
        <w:t>My speaking engagements have included several judicial and bar associations.</w:t>
      </w:r>
      <w:r w:rsidR="0014786D">
        <w:t xml:space="preserve">  </w:t>
      </w:r>
    </w:p>
    <w:p w:rsidR="00731FBA" w:rsidRDefault="00731FBA" w:rsidP="00731FBA">
      <w:pPr>
        <w:pStyle w:val="Double"/>
      </w:pPr>
      <w:r>
        <w:t>I belong to the Association of Inspectors General, the Association of Certified Fraud Examiners, the National Association of Criminal Defense Lawyers, the American Bar Association, the International Association of Independent Private Sector Inspectors General, and the American Society for Industrial Security</w:t>
      </w:r>
      <w:r w:rsidR="00E104A8">
        <w:t xml:space="preserve">.  </w:t>
      </w:r>
      <w:r>
        <w:t>I am a Trustee of the Citizen's Budget Commission and a secure member of the New York Metro InfraGard Alliance.</w:t>
      </w:r>
      <w:r w:rsidR="0014786D">
        <w:t xml:space="preserve">  </w:t>
      </w:r>
    </w:p>
    <w:p w:rsidR="00731FBA" w:rsidRPr="00731FBA" w:rsidRDefault="00731FBA" w:rsidP="00731FBA">
      <w:pPr>
        <w:pStyle w:val="Double"/>
      </w:pPr>
      <w:r>
        <w:t>I hold a Bachelor of Arts in Political Science from the State University of New York at Albany.</w:t>
      </w:r>
      <w:r w:rsidR="0014786D">
        <w:t xml:space="preserve">  </w:t>
      </w:r>
    </w:p>
    <w:p w:rsidR="00731FBA" w:rsidRPr="00731FBA" w:rsidRDefault="00545E76" w:rsidP="00731FBA">
      <w:pPr>
        <w:pStyle w:val="Heading3"/>
      </w:pPr>
      <w:bookmarkStart w:id="14" w:name="_Toc3477537"/>
      <w:r>
        <w:t>Baker</w:t>
      </w:r>
      <w:r w:rsidR="00731FBA">
        <w:t xml:space="preserve"> </w:t>
      </w:r>
      <w:r>
        <w:t>Tilly</w:t>
      </w:r>
      <w:r w:rsidR="00731FBA">
        <w:t xml:space="preserve"> Qualifications</w:t>
      </w:r>
      <w:bookmarkEnd w:id="14"/>
    </w:p>
    <w:p w:rsidR="00731FBA" w:rsidRDefault="00545E76" w:rsidP="00731FBA">
      <w:pPr>
        <w:pStyle w:val="Double"/>
      </w:pPr>
      <w:r>
        <w:t>Baker</w:t>
      </w:r>
      <w:r w:rsidR="00731FBA">
        <w:t xml:space="preserve"> </w:t>
      </w:r>
      <w:r>
        <w:t>Tilly</w:t>
      </w:r>
      <w:r w:rsidR="00731FBA">
        <w:t xml:space="preserve"> is a full-service accounting and advisory firm offering industry-specialized audit, tax, and consulting services.  </w:t>
      </w:r>
      <w:r>
        <w:t>Baker</w:t>
      </w:r>
      <w:r w:rsidR="00731FBA">
        <w:t xml:space="preserve"> </w:t>
      </w:r>
      <w:r>
        <w:t>Tilly</w:t>
      </w:r>
      <w:r w:rsidR="00731FBA">
        <w:t xml:space="preserve"> has over 3,150 employees nationally and is an independent member of </w:t>
      </w:r>
      <w:r>
        <w:t>Baker</w:t>
      </w:r>
      <w:r w:rsidR="00731FBA">
        <w:t xml:space="preserve"> </w:t>
      </w:r>
      <w:r>
        <w:t>Tilly</w:t>
      </w:r>
      <w:r w:rsidR="00731FBA">
        <w:t xml:space="preserve"> International Limited (“</w:t>
      </w:r>
      <w:r w:rsidRPr="0014786D">
        <w:rPr>
          <w:u w:val="single"/>
        </w:rPr>
        <w:t>Baker</w:t>
      </w:r>
      <w:r w:rsidR="00731FBA" w:rsidRPr="0014786D">
        <w:rPr>
          <w:u w:val="single"/>
        </w:rPr>
        <w:t xml:space="preserve"> </w:t>
      </w:r>
      <w:r w:rsidRPr="0014786D">
        <w:rPr>
          <w:u w:val="single"/>
        </w:rPr>
        <w:t>Tilly</w:t>
      </w:r>
      <w:r w:rsidR="00731FBA" w:rsidRPr="0014786D">
        <w:rPr>
          <w:u w:val="single"/>
        </w:rPr>
        <w:t xml:space="preserve"> International</w:t>
      </w:r>
      <w:r w:rsidR="00731FBA">
        <w:t xml:space="preserve">”), one of the world’s leading networks of independently owned and managed accounting and business advisory firms.  </w:t>
      </w:r>
      <w:r>
        <w:t>Baker</w:t>
      </w:r>
      <w:r w:rsidR="00731FBA">
        <w:t xml:space="preserve"> </w:t>
      </w:r>
      <w:r>
        <w:t>Tilly</w:t>
      </w:r>
      <w:r w:rsidR="00731FBA">
        <w:t xml:space="preserve"> International employs 33,000 people in 147 locations globally.</w:t>
      </w:r>
      <w:r w:rsidR="0014786D">
        <w:t xml:space="preserve">  </w:t>
      </w:r>
    </w:p>
    <w:p w:rsidR="00731FBA" w:rsidRDefault="00731FBA" w:rsidP="00731FBA">
      <w:pPr>
        <w:pStyle w:val="Double"/>
      </w:pPr>
      <w:r>
        <w:t>The FLVS practice provides multiple consulting and support services, including fraud and forensic investigations, complex commercial litigation, valuation in disputes, restructuring and bankruptcy disputes, structured finance and capital markets consulting, monitorships</w:t>
      </w:r>
      <w:r w:rsidR="004A5DE8">
        <w:t>,</w:t>
      </w:r>
      <w:r>
        <w:t xml:space="preserve"> and </w:t>
      </w:r>
      <w:r>
        <w:lastRenderedPageBreak/>
        <w:t>regulatory compliance.  Professionals within the FLVS practice have decades of experience assisting clients during stressful and difficult times.  FLVS professionals hold the following designations and accreditations, among others:</w:t>
      </w:r>
      <w:r w:rsidR="0014786D">
        <w:t xml:space="preserve">  </w:t>
      </w:r>
    </w:p>
    <w:p w:rsidR="00731FBA" w:rsidRDefault="00731FBA" w:rsidP="004A5DE8">
      <w:pPr>
        <w:pStyle w:val="Double"/>
        <w:numPr>
          <w:ilvl w:val="0"/>
          <w:numId w:val="31"/>
        </w:numPr>
      </w:pPr>
      <w:r>
        <w:t>Certified in Distressed Business Valuation (“</w:t>
      </w:r>
      <w:r w:rsidRPr="004A5DE8">
        <w:rPr>
          <w:u w:val="single"/>
        </w:rPr>
        <w:t>CDBV</w:t>
      </w:r>
      <w:r>
        <w:t>”)</w:t>
      </w:r>
    </w:p>
    <w:p w:rsidR="00731FBA" w:rsidRDefault="00731FBA" w:rsidP="004A5DE8">
      <w:pPr>
        <w:pStyle w:val="Double"/>
        <w:numPr>
          <w:ilvl w:val="0"/>
          <w:numId w:val="31"/>
        </w:numPr>
      </w:pPr>
      <w:r>
        <w:t>Certified in Financial Forensics (“</w:t>
      </w:r>
      <w:r w:rsidRPr="004A5DE8">
        <w:rPr>
          <w:u w:val="single"/>
        </w:rPr>
        <w:t>CFF</w:t>
      </w:r>
      <w:r>
        <w:t>”)</w:t>
      </w:r>
    </w:p>
    <w:p w:rsidR="004A5DE8" w:rsidRDefault="00731FBA" w:rsidP="004A5DE8">
      <w:pPr>
        <w:pStyle w:val="Double"/>
        <w:numPr>
          <w:ilvl w:val="0"/>
          <w:numId w:val="31"/>
        </w:numPr>
      </w:pPr>
      <w:r>
        <w:t>Certified Fraud Examiner (“</w:t>
      </w:r>
      <w:r w:rsidRPr="004A5DE8">
        <w:rPr>
          <w:u w:val="single"/>
        </w:rPr>
        <w:t>CFE</w:t>
      </w:r>
      <w:r>
        <w:t>”)</w:t>
      </w:r>
    </w:p>
    <w:p w:rsidR="00BA0184" w:rsidRDefault="00BA0184" w:rsidP="004A5DE8">
      <w:pPr>
        <w:pStyle w:val="Double"/>
        <w:numPr>
          <w:ilvl w:val="0"/>
          <w:numId w:val="31"/>
        </w:numPr>
      </w:pPr>
      <w:r>
        <w:t>Chartered Global Management Accountant (“</w:t>
      </w:r>
      <w:r w:rsidR="00B864D4">
        <w:rPr>
          <w:u w:val="single"/>
        </w:rPr>
        <w:t>CGMA</w:t>
      </w:r>
      <w:r>
        <w:t>”)</w:t>
      </w:r>
    </w:p>
    <w:p w:rsidR="00731FBA" w:rsidRDefault="00731FBA" w:rsidP="004A5DE8">
      <w:pPr>
        <w:pStyle w:val="Double"/>
        <w:numPr>
          <w:ilvl w:val="0"/>
          <w:numId w:val="31"/>
        </w:numPr>
      </w:pPr>
      <w:r>
        <w:t>Certified Inspector General (“</w:t>
      </w:r>
      <w:r w:rsidRPr="004A5DE8">
        <w:rPr>
          <w:u w:val="single"/>
        </w:rPr>
        <w:t>CIG</w:t>
      </w:r>
      <w:r>
        <w:t>”)</w:t>
      </w:r>
    </w:p>
    <w:p w:rsidR="00731FBA" w:rsidRDefault="00731FBA" w:rsidP="004A5DE8">
      <w:pPr>
        <w:pStyle w:val="Double"/>
        <w:numPr>
          <w:ilvl w:val="0"/>
          <w:numId w:val="31"/>
        </w:numPr>
      </w:pPr>
      <w:r>
        <w:t>Certified Insolvency &amp; Restructuring Advisor (“</w:t>
      </w:r>
      <w:r w:rsidRPr="004A5DE8">
        <w:rPr>
          <w:u w:val="single"/>
        </w:rPr>
        <w:t>CIRA</w:t>
      </w:r>
      <w:r>
        <w:t>”)</w:t>
      </w:r>
    </w:p>
    <w:p w:rsidR="00731FBA" w:rsidRDefault="00731FBA" w:rsidP="004A5DE8">
      <w:pPr>
        <w:pStyle w:val="Double"/>
        <w:numPr>
          <w:ilvl w:val="0"/>
          <w:numId w:val="31"/>
        </w:numPr>
      </w:pPr>
      <w:r>
        <w:t>Certified Public Accountant (“</w:t>
      </w:r>
      <w:r w:rsidRPr="004A5DE8">
        <w:rPr>
          <w:u w:val="single"/>
        </w:rPr>
        <w:t>CPA</w:t>
      </w:r>
      <w:r>
        <w:t>”)</w:t>
      </w:r>
    </w:p>
    <w:p w:rsidR="00731FBA" w:rsidRDefault="00731FBA" w:rsidP="004A5DE8">
      <w:pPr>
        <w:pStyle w:val="Double"/>
        <w:numPr>
          <w:ilvl w:val="0"/>
          <w:numId w:val="31"/>
        </w:numPr>
      </w:pPr>
      <w:r>
        <w:t>Certified Treasury Professional (“</w:t>
      </w:r>
      <w:r w:rsidRPr="004A5DE8">
        <w:rPr>
          <w:u w:val="single"/>
        </w:rPr>
        <w:t>CTP</w:t>
      </w:r>
      <w:r>
        <w:t>”)</w:t>
      </w:r>
    </w:p>
    <w:p w:rsidR="00731FBA" w:rsidRDefault="00731FBA" w:rsidP="004A5DE8">
      <w:pPr>
        <w:pStyle w:val="Double"/>
        <w:numPr>
          <w:ilvl w:val="0"/>
          <w:numId w:val="31"/>
        </w:numPr>
      </w:pPr>
      <w:r>
        <w:t>Juris Doctor (“</w:t>
      </w:r>
      <w:r w:rsidRPr="004A5DE8">
        <w:rPr>
          <w:u w:val="single"/>
        </w:rPr>
        <w:t>JD</w:t>
      </w:r>
      <w:r>
        <w:t>”)</w:t>
      </w:r>
    </w:p>
    <w:p w:rsidR="00731FBA" w:rsidRDefault="00731FBA" w:rsidP="004A5DE8">
      <w:pPr>
        <w:pStyle w:val="Double"/>
        <w:numPr>
          <w:ilvl w:val="0"/>
          <w:numId w:val="31"/>
        </w:numPr>
      </w:pPr>
      <w:r>
        <w:t>Master of Forensic Science (“</w:t>
      </w:r>
      <w:r w:rsidRPr="004A5DE8">
        <w:rPr>
          <w:u w:val="single"/>
        </w:rPr>
        <w:t>MFS</w:t>
      </w:r>
      <w:r>
        <w:t>”)</w:t>
      </w:r>
    </w:p>
    <w:p w:rsidR="001F4CD5" w:rsidRPr="001F4CD5" w:rsidRDefault="00731FBA" w:rsidP="00731FBA">
      <w:pPr>
        <w:pStyle w:val="Double"/>
      </w:pPr>
      <w:r>
        <w:t>FLVS professionals have extensive experience conducting forensic investigations for a variety of matters including, but not limited to, bankruptcy disputes, computer forensics, corporate securities disputes, data mining and analyses, internal investigations, False Claims Act and government contract investigations, labor investigations, monitorships, post-acquisition disputes, and shareholder and partnership disputes.  The FLVS practice is national with offices in Atlanta, Chicago, New York, Oklahoma City, Philadelphia, Pittsburgh, and Washington D.C.</w:t>
      </w:r>
      <w:r w:rsidR="00CA1C8E">
        <w:t xml:space="preserve">  </w:t>
      </w:r>
    </w:p>
    <w:p w:rsidR="002F5426" w:rsidRDefault="004902AA" w:rsidP="001F4CD5">
      <w:pPr>
        <w:pStyle w:val="Heading2"/>
      </w:pPr>
      <w:bookmarkStart w:id="15" w:name="_Toc3477538"/>
      <w:r>
        <w:t>Engagement Oversight</w:t>
      </w:r>
      <w:bookmarkEnd w:id="15"/>
    </w:p>
    <w:p w:rsidR="001F4CD5" w:rsidRPr="001F4CD5" w:rsidRDefault="004F695A" w:rsidP="004F695A">
      <w:pPr>
        <w:pStyle w:val="Double"/>
      </w:pPr>
      <w:r>
        <w:t xml:space="preserve">All work related to this engagement was performed by Brian Sanvidge or by </w:t>
      </w:r>
      <w:r w:rsidR="00545E76">
        <w:t>Baker</w:t>
      </w:r>
      <w:r>
        <w:t xml:space="preserve"> </w:t>
      </w:r>
      <w:r w:rsidR="00545E76">
        <w:t>Tilly</w:t>
      </w:r>
      <w:r>
        <w:t xml:space="preserve"> professionals under his direction and oversight</w:t>
      </w:r>
      <w:r w:rsidR="00E104A8">
        <w:t xml:space="preserve">.  </w:t>
      </w:r>
      <w:r>
        <w:t xml:space="preserve">For purposes of this Report, Mr. Sanvidge and </w:t>
      </w:r>
      <w:r w:rsidR="009A4F76">
        <w:t xml:space="preserve">other professionals </w:t>
      </w:r>
      <w:r>
        <w:t>are referred to as “</w:t>
      </w:r>
      <w:r w:rsidR="00545E76">
        <w:t>Baker</w:t>
      </w:r>
      <w:r>
        <w:t xml:space="preserve"> </w:t>
      </w:r>
      <w:r w:rsidR="00545E76">
        <w:t>Tilly</w:t>
      </w:r>
      <w:r>
        <w:t>” or “we.”</w:t>
      </w:r>
    </w:p>
    <w:p w:rsidR="002F5426" w:rsidRDefault="004902AA" w:rsidP="001F4CD5">
      <w:pPr>
        <w:pStyle w:val="Heading2"/>
      </w:pPr>
      <w:bookmarkStart w:id="16" w:name="_Toc3477539"/>
      <w:r>
        <w:lastRenderedPageBreak/>
        <w:t>Limitations</w:t>
      </w:r>
      <w:bookmarkEnd w:id="16"/>
    </w:p>
    <w:p w:rsidR="006E4BFA" w:rsidRDefault="00545E76" w:rsidP="006E4BFA">
      <w:pPr>
        <w:pStyle w:val="Double"/>
      </w:pPr>
      <w:r>
        <w:t>Baker</w:t>
      </w:r>
      <w:r w:rsidR="006E4BFA">
        <w:t xml:space="preserve"> </w:t>
      </w:r>
      <w:r>
        <w:t>Tilly</w:t>
      </w:r>
      <w:r w:rsidR="006E4BFA">
        <w:t xml:space="preserve"> was engaged to perform a forensic </w:t>
      </w:r>
      <w:r w:rsidR="00A1545D">
        <w:t>review</w:t>
      </w:r>
      <w:r w:rsidR="006E4BFA">
        <w:t xml:space="preserve"> on behalf of HCPSS.  The services provided as described in this Report are not intended to be, nor should they be considered an audit, review, or compilation in accordance with generally accepted auditing standards.  </w:t>
      </w:r>
      <w:r>
        <w:t>Baker</w:t>
      </w:r>
      <w:r w:rsidR="006E4BFA">
        <w:t xml:space="preserve"> </w:t>
      </w:r>
      <w:r>
        <w:t>Tilly</w:t>
      </w:r>
      <w:r w:rsidR="006E4BFA">
        <w:t xml:space="preserve"> followed the Association of Inspectors General Principles and Standards for Offices of Inspector General in execution of this forensic </w:t>
      </w:r>
      <w:r w:rsidR="004E55D5">
        <w:t>review</w:t>
      </w:r>
      <w:r w:rsidR="006E4BFA">
        <w:t>.</w:t>
      </w:r>
      <w:r w:rsidR="006E4BFA">
        <w:rPr>
          <w:rStyle w:val="FootnoteReference"/>
        </w:rPr>
        <w:footnoteReference w:id="1"/>
      </w:r>
      <w:r w:rsidR="00CA1C8E">
        <w:t xml:space="preserve">  </w:t>
      </w:r>
    </w:p>
    <w:p w:rsidR="006E4BFA" w:rsidRDefault="006E4BFA" w:rsidP="006E4BFA">
      <w:pPr>
        <w:pStyle w:val="Double"/>
      </w:pPr>
      <w:r>
        <w:t>The American Institute of Certified Public Accountants (“</w:t>
      </w:r>
      <w:r w:rsidRPr="00CA1C8E">
        <w:rPr>
          <w:u w:val="single"/>
        </w:rPr>
        <w:t>AICPA</w:t>
      </w:r>
      <w:r>
        <w:t>”) defines the “objective of the ordinary audit of financial statements by the independent auditor is the expression of an opinion on the fairness with which they present, in all material respects, the financial position, results of operations, and its cash flows in conformity with generally accepted accounting principles.”</w:t>
      </w:r>
      <w:r>
        <w:rPr>
          <w:rStyle w:val="FootnoteReference"/>
        </w:rPr>
        <w:footnoteReference w:id="2"/>
      </w:r>
      <w:r>
        <w:t xml:space="preserve">  This Report does not contain an expression of opinion as to the fairness of the financial statements of </w:t>
      </w:r>
      <w:r w:rsidR="004E55D5">
        <w:t>HCPSS</w:t>
      </w:r>
      <w:r>
        <w:t xml:space="preserve"> or any of its related entities.  However, the AICPA states “the purpose of the investigation is to determine whether there are fact patterns that indicate there may have been wrong-doing in the area(s) suspected, determine the possible method(s) employed, and attempt to quantify the questionable amounts involved.”</w:t>
      </w:r>
      <w:r>
        <w:rPr>
          <w:rStyle w:val="FootnoteReference"/>
        </w:rPr>
        <w:footnoteReference w:id="3"/>
      </w:r>
      <w:r>
        <w:t xml:space="preserve">  </w:t>
      </w:r>
      <w:r w:rsidR="00545E76">
        <w:t>Baker</w:t>
      </w:r>
      <w:r>
        <w:t xml:space="preserve"> </w:t>
      </w:r>
      <w:r w:rsidR="00545E76">
        <w:t>Tilly</w:t>
      </w:r>
      <w:r>
        <w:t xml:space="preserve">’s </w:t>
      </w:r>
      <w:r w:rsidR="004E55D5">
        <w:t>forensic review</w:t>
      </w:r>
      <w:r>
        <w:t xml:space="preserve"> aligns with the objective of a forensic investigation as described by the AICPA: “to gather sufficient relevant data to help the client or trier of fact reach a conclusion on the merits of the suspected or </w:t>
      </w:r>
      <w:r>
        <w:lastRenderedPageBreak/>
        <w:t>alleged fraud.”</w:t>
      </w:r>
      <w:r>
        <w:rPr>
          <w:rStyle w:val="FootnoteReference"/>
        </w:rPr>
        <w:footnoteReference w:id="4"/>
      </w:r>
      <w:r>
        <w:t xml:space="preserve">  Additionally, the ACFE Code of Professional Standards states, “no opinion shall be expressed regarding the guilt or innocence of any person or party.”</w:t>
      </w:r>
      <w:r>
        <w:rPr>
          <w:rStyle w:val="FootnoteReference"/>
        </w:rPr>
        <w:footnoteReference w:id="5"/>
      </w:r>
      <w:r w:rsidR="00CA1C8E">
        <w:t xml:space="preserve">  </w:t>
      </w:r>
    </w:p>
    <w:p w:rsidR="006E4BFA" w:rsidRPr="006E4BFA" w:rsidRDefault="00545E76" w:rsidP="006E4BFA">
      <w:pPr>
        <w:pStyle w:val="Double"/>
      </w:pPr>
      <w:r>
        <w:t>Baker</w:t>
      </w:r>
      <w:r w:rsidR="006E4BFA">
        <w:t xml:space="preserve"> </w:t>
      </w:r>
      <w:r>
        <w:t>Tilly</w:t>
      </w:r>
      <w:r w:rsidR="006E4BFA">
        <w:t xml:space="preserve"> assumed all information received during this </w:t>
      </w:r>
      <w:r w:rsidR="004E55D5">
        <w:t>forensic review</w:t>
      </w:r>
      <w:r w:rsidR="006E4BFA">
        <w:t xml:space="preserve"> is </w:t>
      </w:r>
      <w:r w:rsidR="0077213D">
        <w:t>complete and accurate</w:t>
      </w:r>
      <w:r w:rsidR="006E4BFA">
        <w:t xml:space="preserve">, and as such, relied on it to reach our conclusions.  In some instances, the availability of more complete information may have resulted in different findings.  Should </w:t>
      </w:r>
      <w:r w:rsidR="00E104A8">
        <w:t>HCPSS</w:t>
      </w:r>
      <w:r w:rsidR="006E4BFA">
        <w:t xml:space="preserve"> identify additional information after the date of this Report, the conclusions reached by </w:t>
      </w:r>
      <w:r>
        <w:t>Baker</w:t>
      </w:r>
      <w:r w:rsidR="006E4BFA">
        <w:t xml:space="preserve"> </w:t>
      </w:r>
      <w:r>
        <w:t>Tilly</w:t>
      </w:r>
      <w:r w:rsidR="006E4BFA">
        <w:t xml:space="preserve"> could change.</w:t>
      </w:r>
      <w:r w:rsidR="00CA1C8E">
        <w:t xml:space="preserve">  </w:t>
      </w:r>
    </w:p>
    <w:p w:rsidR="00B7277E" w:rsidRDefault="00B7277E">
      <w:pPr>
        <w:pStyle w:val="Heading1"/>
      </w:pPr>
      <w:bookmarkStart w:id="17" w:name="_Toc3477540"/>
      <w:r w:rsidRPr="00790660">
        <w:lastRenderedPageBreak/>
        <w:t>Background</w:t>
      </w:r>
      <w:bookmarkEnd w:id="17"/>
    </w:p>
    <w:p w:rsidR="00BA3669" w:rsidRDefault="00BA3669" w:rsidP="00BA3669">
      <w:pPr>
        <w:pStyle w:val="Heading2"/>
      </w:pPr>
      <w:bookmarkStart w:id="18" w:name="_Toc3477541"/>
      <w:r>
        <w:t>HCPSS’s Operations</w:t>
      </w:r>
      <w:bookmarkEnd w:id="18"/>
    </w:p>
    <w:p w:rsidR="00192F23" w:rsidRDefault="00995A57" w:rsidP="003E7E8B">
      <w:pPr>
        <w:pStyle w:val="Double"/>
      </w:pPr>
      <w:r>
        <w:t>HCPSS,</w:t>
      </w:r>
      <w:r w:rsidR="003E7E8B">
        <w:t xml:space="preserve"> located in Elliott City, Maryland</w:t>
      </w:r>
      <w:r>
        <w:t xml:space="preserve">, has </w:t>
      </w:r>
      <w:r w:rsidR="003E7E8B">
        <w:t>over 70 elementary, middle</w:t>
      </w:r>
      <w:r w:rsidR="00CA1C8E">
        <w:t>,</w:t>
      </w:r>
      <w:r w:rsidR="003E7E8B">
        <w:t xml:space="preserve"> and high schools throughout </w:t>
      </w:r>
      <w:r w:rsidR="002C1683">
        <w:t>Howard County</w:t>
      </w:r>
      <w:r w:rsidR="003E7E8B">
        <w:t>.</w:t>
      </w:r>
      <w:r w:rsidR="003E7E8B">
        <w:rPr>
          <w:rStyle w:val="FootnoteReference"/>
        </w:rPr>
        <w:footnoteReference w:id="6"/>
      </w:r>
      <w:r w:rsidR="008A45EC">
        <w:t xml:space="preserve">  </w:t>
      </w:r>
      <w:r w:rsidR="00192F23">
        <w:t xml:space="preserve">HCPSS educates roughly 53,000 students </w:t>
      </w:r>
      <w:r w:rsidR="00202044">
        <w:t xml:space="preserve">as of </w:t>
      </w:r>
      <w:r w:rsidR="002C1683">
        <w:t xml:space="preserve">the </w:t>
      </w:r>
      <w:r w:rsidR="00202044">
        <w:t>2015</w:t>
      </w:r>
      <w:r w:rsidR="00192F23">
        <w:t xml:space="preserve"> –</w:t>
      </w:r>
      <w:r w:rsidR="00202044">
        <w:t xml:space="preserve"> 2016</w:t>
      </w:r>
      <w:r w:rsidR="00192F23">
        <w:t xml:space="preserve"> school year</w:t>
      </w:r>
      <w:r w:rsidR="00202044">
        <w:t xml:space="preserve"> with a graduation rate of 93.5</w:t>
      </w:r>
      <w:r w:rsidR="00E104A8">
        <w:t>% for</w:t>
      </w:r>
      <w:r w:rsidR="00202044">
        <w:t xml:space="preserve"> the Class of 2015</w:t>
      </w:r>
      <w:r w:rsidR="00192F23">
        <w:t>.</w:t>
      </w:r>
      <w:r w:rsidR="00192F23">
        <w:rPr>
          <w:rStyle w:val="FootnoteReference"/>
        </w:rPr>
        <w:footnoteReference w:id="7"/>
      </w:r>
      <w:r w:rsidR="002C1683">
        <w:t xml:space="preserve">  </w:t>
      </w:r>
    </w:p>
    <w:p w:rsidR="00202044" w:rsidRDefault="002C1683" w:rsidP="003E7E8B">
      <w:pPr>
        <w:pStyle w:val="Double"/>
      </w:pPr>
      <w:r>
        <w:t>To</w:t>
      </w:r>
      <w:r w:rsidR="008A45EC">
        <w:t xml:space="preserve"> </w:t>
      </w:r>
      <w:r>
        <w:t>f</w:t>
      </w:r>
      <w:r w:rsidR="00545E76">
        <w:t>und</w:t>
      </w:r>
      <w:r w:rsidR="008A45EC">
        <w:t xml:space="preserve"> school operations, HCPSS utilizes governmental, proprietary</w:t>
      </w:r>
      <w:r>
        <w:t>,</w:t>
      </w:r>
      <w:r w:rsidR="008A45EC">
        <w:t xml:space="preserve"> and fiduciary </w:t>
      </w:r>
      <w:r>
        <w:t>f</w:t>
      </w:r>
      <w:r w:rsidR="00545E76">
        <w:t>unds</w:t>
      </w:r>
      <w:r w:rsidR="008A45EC">
        <w:t xml:space="preserve">.  The Health and Dental </w:t>
      </w:r>
      <w:r w:rsidR="00545E76">
        <w:t>Fund</w:t>
      </w:r>
      <w:r w:rsidR="008A45EC">
        <w:t xml:space="preserve"> </w:t>
      </w:r>
      <w:r>
        <w:t>is intended</w:t>
      </w:r>
      <w:r w:rsidR="008A45EC">
        <w:t xml:space="preserve"> for “health insurance, life insurance, and voluntary benefits for employees and retirees”.</w:t>
      </w:r>
      <w:r w:rsidR="008A45EC">
        <w:rPr>
          <w:rStyle w:val="FootnoteReference"/>
        </w:rPr>
        <w:footnoteReference w:id="8"/>
      </w:r>
      <w:r w:rsidR="00202044">
        <w:t xml:space="preserve">  </w:t>
      </w:r>
      <w:r>
        <w:t>The Health and Dental</w:t>
      </w:r>
      <w:r w:rsidR="0004466F">
        <w:t xml:space="preserve"> </w:t>
      </w:r>
      <w:r w:rsidR="00545E76">
        <w:t>Fund</w:t>
      </w:r>
      <w:r w:rsidR="0004466F">
        <w:t xml:space="preserve"> not only covers insurance benefits to employees and retirees, but also offers wellness related educational programs and sponsors the Health and Wellness Expo</w:t>
      </w:r>
      <w:r w:rsidR="00471B42">
        <w:t>.</w:t>
      </w:r>
      <w:r w:rsidR="00471B42">
        <w:rPr>
          <w:rStyle w:val="FootnoteReference"/>
        </w:rPr>
        <w:footnoteReference w:id="9"/>
      </w:r>
      <w:r w:rsidR="009A1396">
        <w:t xml:space="preserve">  Revenue is </w:t>
      </w:r>
      <w:r w:rsidR="0077213D">
        <w:t>recognized</w:t>
      </w:r>
      <w:r w:rsidR="009A1396">
        <w:t xml:space="preserve"> from a multitude of other </w:t>
      </w:r>
      <w:r>
        <w:t>f</w:t>
      </w:r>
      <w:r w:rsidR="00545E76">
        <w:t>unds</w:t>
      </w:r>
      <w:r w:rsidR="009A1396">
        <w:t xml:space="preserve"> </w:t>
      </w:r>
      <w:r w:rsidR="00B427B1">
        <w:t>that make</w:t>
      </w:r>
      <w:r w:rsidR="009A1396">
        <w:t xml:space="preserve"> payments into the Health and Dental </w:t>
      </w:r>
      <w:r w:rsidR="00545E76">
        <w:t>Fund</w:t>
      </w:r>
      <w:r w:rsidR="009A1396">
        <w:t>, along with contributions</w:t>
      </w:r>
      <w:r w:rsidR="009A33F2">
        <w:t xml:space="preserve"> from employees, retirees</w:t>
      </w:r>
      <w:r>
        <w:t>,</w:t>
      </w:r>
      <w:r w:rsidR="009A33F2">
        <w:t xml:space="preserve"> and the Consolidated Omnibus Budget Reconciliation Act of 1985 (COBRA)</w:t>
      </w:r>
      <w:r w:rsidR="009A1396">
        <w:t>.</w:t>
      </w:r>
      <w:r>
        <w:t xml:space="preserve">  </w:t>
      </w:r>
    </w:p>
    <w:p w:rsidR="003E7E8B" w:rsidRPr="003E7E8B" w:rsidRDefault="00202044" w:rsidP="003E7E8B">
      <w:pPr>
        <w:pStyle w:val="Double"/>
      </w:pPr>
      <w:r>
        <w:t xml:space="preserve">The </w:t>
      </w:r>
      <w:r w:rsidR="00AF7BA2">
        <w:t xml:space="preserve">Grant </w:t>
      </w:r>
      <w:r w:rsidR="00545E76">
        <w:t>Fund</w:t>
      </w:r>
      <w:r w:rsidR="00AF7BA2">
        <w:t xml:space="preserve"> is part of HCPSS’s General </w:t>
      </w:r>
      <w:r w:rsidR="00545E76">
        <w:t>Fund</w:t>
      </w:r>
      <w:r w:rsidR="00AF7BA2">
        <w:t xml:space="preserve"> and </w:t>
      </w:r>
      <w:r w:rsidR="00E104A8">
        <w:t>is</w:t>
      </w:r>
      <w:r w:rsidR="00AF7BA2">
        <w:t xml:space="preserve"> </w:t>
      </w:r>
      <w:r w:rsidR="00E104A8">
        <w:t xml:space="preserve">also </w:t>
      </w:r>
      <w:r w:rsidR="00AF7BA2">
        <w:t xml:space="preserve">known as their Restricted </w:t>
      </w:r>
      <w:r w:rsidR="00545E76">
        <w:t>Fund</w:t>
      </w:r>
      <w:r w:rsidR="00AF7BA2">
        <w:t>.</w:t>
      </w:r>
      <w:r w:rsidR="00AF7BA2">
        <w:rPr>
          <w:rStyle w:val="FootnoteReference"/>
        </w:rPr>
        <w:footnoteReference w:id="10"/>
      </w:r>
      <w:r w:rsidR="00AF7BA2">
        <w:t xml:space="preserve">  </w:t>
      </w:r>
      <w:r w:rsidR="0077213D">
        <w:t xml:space="preserve">Funding </w:t>
      </w:r>
      <w:r w:rsidR="002C1683">
        <w:t>for the Grant</w:t>
      </w:r>
      <w:r w:rsidR="001363BB">
        <w:t xml:space="preserve"> </w:t>
      </w:r>
      <w:r w:rsidR="00545E76">
        <w:t>Fund</w:t>
      </w:r>
      <w:r w:rsidR="001363BB">
        <w:t xml:space="preserve"> </w:t>
      </w:r>
      <w:r w:rsidR="0077213D">
        <w:t xml:space="preserve">comes </w:t>
      </w:r>
      <w:r w:rsidR="001363BB">
        <w:t>from the state and federal government.</w:t>
      </w:r>
      <w:r w:rsidR="001363BB">
        <w:rPr>
          <w:rStyle w:val="FootnoteReference"/>
        </w:rPr>
        <w:footnoteReference w:id="11"/>
      </w:r>
      <w:r w:rsidR="001724D1">
        <w:t xml:space="preserve">  The Grant Fund supports day-to-day operations of the school, including teacher salaries and school maintenance.</w:t>
      </w:r>
      <w:r w:rsidR="001724D1">
        <w:rPr>
          <w:rStyle w:val="FootnoteReference"/>
        </w:rPr>
        <w:footnoteReference w:id="12"/>
      </w:r>
      <w:r w:rsidR="001724D1">
        <w:t xml:space="preserve"> Both the Health and Dental </w:t>
      </w:r>
      <w:r w:rsidR="00275889">
        <w:t xml:space="preserve">Fund </w:t>
      </w:r>
      <w:r w:rsidR="001724D1">
        <w:t xml:space="preserve">and Grant Fund </w:t>
      </w:r>
      <w:r w:rsidR="001363BB">
        <w:t xml:space="preserve">have been designated to be </w:t>
      </w:r>
      <w:r w:rsidR="00B2606F">
        <w:t>used</w:t>
      </w:r>
      <w:r w:rsidR="001363BB">
        <w:t>for specific purpose</w:t>
      </w:r>
      <w:r w:rsidR="00B47B82">
        <w:t>s</w:t>
      </w:r>
      <w:r w:rsidR="001363BB">
        <w:t>.</w:t>
      </w:r>
      <w:r w:rsidR="001363BB">
        <w:rPr>
          <w:rStyle w:val="FootnoteReference"/>
        </w:rPr>
        <w:footnoteReference w:id="13"/>
      </w:r>
      <w:r w:rsidR="001363BB">
        <w:t xml:space="preserve">    </w:t>
      </w:r>
      <w:r w:rsidR="00AF7BA2">
        <w:t xml:space="preserve"> </w:t>
      </w:r>
    </w:p>
    <w:p w:rsidR="00BA3669" w:rsidRDefault="00BA3669" w:rsidP="00BA3669">
      <w:pPr>
        <w:pStyle w:val="Heading2"/>
      </w:pPr>
      <w:bookmarkStart w:id="19" w:name="_Toc3477542"/>
      <w:r>
        <w:lastRenderedPageBreak/>
        <w:t xml:space="preserve">Cause of </w:t>
      </w:r>
      <w:r w:rsidR="004E55D5">
        <w:t>Forensic Review</w:t>
      </w:r>
      <w:bookmarkEnd w:id="19"/>
    </w:p>
    <w:p w:rsidR="001D3975" w:rsidRPr="001D3975" w:rsidRDefault="00545E76" w:rsidP="002319E4">
      <w:pPr>
        <w:pStyle w:val="Double"/>
      </w:pPr>
      <w:r>
        <w:t>Baker</w:t>
      </w:r>
      <w:r w:rsidR="002319E4">
        <w:t xml:space="preserve"> </w:t>
      </w:r>
      <w:r>
        <w:t>Tilly</w:t>
      </w:r>
      <w:r w:rsidR="002319E4">
        <w:t xml:space="preserve"> was engaged </w:t>
      </w:r>
      <w:r w:rsidR="00C100B0">
        <w:t xml:space="preserve">by the Board of Education for Howard County </w:t>
      </w:r>
      <w:r w:rsidR="002319E4">
        <w:t xml:space="preserve">to perform </w:t>
      </w:r>
      <w:r w:rsidR="00C100B0">
        <w:t>a forensic review of</w:t>
      </w:r>
      <w:r w:rsidR="002319E4">
        <w:t xml:space="preserve"> the Health and Dental </w:t>
      </w:r>
      <w:r w:rsidR="00C100B0">
        <w:t xml:space="preserve">Fund </w:t>
      </w:r>
      <w:r w:rsidR="002319E4">
        <w:t xml:space="preserve">and Grant </w:t>
      </w:r>
      <w:r w:rsidR="00C100B0">
        <w:t>Fund</w:t>
      </w:r>
      <w:r w:rsidR="002319E4">
        <w:t xml:space="preserve"> </w:t>
      </w:r>
      <w:r w:rsidR="00C100B0">
        <w:t>for the Relevant Period</w:t>
      </w:r>
      <w:r w:rsidR="002319E4">
        <w:t>.</w:t>
      </w:r>
      <w:r w:rsidR="002319E4">
        <w:rPr>
          <w:rStyle w:val="FootnoteReference"/>
        </w:rPr>
        <w:footnoteReference w:id="14"/>
      </w:r>
      <w:r w:rsidR="00C100B0">
        <w:t xml:space="preserve">  T</w:t>
      </w:r>
      <w:r w:rsidR="002319E4">
        <w:t>he Board</w:t>
      </w:r>
      <w:r w:rsidR="00C100B0">
        <w:t xml:space="preserve"> of Education indicated </w:t>
      </w:r>
      <w:r w:rsidR="002319E4">
        <w:t>that there was a large</w:t>
      </w:r>
      <w:r w:rsidR="00291096">
        <w:t xml:space="preserve">, accumulating </w:t>
      </w:r>
      <w:r w:rsidR="002319E4">
        <w:t xml:space="preserve">deficit in both the Health and Dental </w:t>
      </w:r>
      <w:r w:rsidR="00C100B0">
        <w:t xml:space="preserve">Fund </w:t>
      </w:r>
      <w:r w:rsidR="002319E4">
        <w:t xml:space="preserve">and Grant </w:t>
      </w:r>
      <w:r w:rsidR="00C100B0">
        <w:t>Fund</w:t>
      </w:r>
      <w:r w:rsidR="002319E4">
        <w:t xml:space="preserve">, </w:t>
      </w:r>
      <w:r w:rsidR="00C100B0">
        <w:t xml:space="preserve">for </w:t>
      </w:r>
      <w:r w:rsidR="00E104A8">
        <w:t xml:space="preserve">which </w:t>
      </w:r>
      <w:r w:rsidR="002319E4">
        <w:t xml:space="preserve">an </w:t>
      </w:r>
      <w:r w:rsidR="00AE6009">
        <w:t>explanation</w:t>
      </w:r>
      <w:r w:rsidR="002319E4">
        <w:t xml:space="preserve"> was unable to be determined.  As stated in the </w:t>
      </w:r>
      <w:r w:rsidR="00C100B0">
        <w:t>FY</w:t>
      </w:r>
      <w:r w:rsidR="002319E4">
        <w:t xml:space="preserve"> 2017 Approved Operating Budget, there was a reduction of fixed </w:t>
      </w:r>
      <w:r w:rsidR="00E104A8">
        <w:t>charges, which</w:t>
      </w:r>
      <w:r w:rsidR="002319E4">
        <w:t xml:space="preserve"> in turn “reduced the General </w:t>
      </w:r>
      <w:r>
        <w:t>Fund</w:t>
      </w:r>
      <w:r w:rsidR="002319E4">
        <w:t xml:space="preserve"> contribution to the Health and Dental </w:t>
      </w:r>
      <w:r>
        <w:t>Fund</w:t>
      </w:r>
      <w:r w:rsidR="002319E4">
        <w:t xml:space="preserve"> by $39.1 million”.</w:t>
      </w:r>
      <w:r w:rsidR="002319E4">
        <w:rPr>
          <w:rStyle w:val="FootnoteReference"/>
        </w:rPr>
        <w:footnoteReference w:id="15"/>
      </w:r>
    </w:p>
    <w:p w:rsidR="00D65E74" w:rsidRDefault="00D65E74" w:rsidP="006B7DFF">
      <w:pPr>
        <w:pStyle w:val="Heading1"/>
        <w:numPr>
          <w:ilvl w:val="0"/>
          <w:numId w:val="1"/>
        </w:numPr>
      </w:pPr>
      <w:bookmarkStart w:id="20" w:name="_Toc435642024"/>
      <w:bookmarkStart w:id="21" w:name="_Toc3477543"/>
      <w:bookmarkEnd w:id="20"/>
      <w:r w:rsidRPr="00790660">
        <w:lastRenderedPageBreak/>
        <w:t>Methodology</w:t>
      </w:r>
      <w:bookmarkEnd w:id="21"/>
    </w:p>
    <w:p w:rsidR="00F95BBD" w:rsidRPr="00F95BBD" w:rsidRDefault="00545E76" w:rsidP="00F95BBD">
      <w:pPr>
        <w:pStyle w:val="Double"/>
      </w:pPr>
      <w:r>
        <w:t>Baker</w:t>
      </w:r>
      <w:r w:rsidR="00F95BBD">
        <w:t xml:space="preserve"> </w:t>
      </w:r>
      <w:r>
        <w:t>Tilly</w:t>
      </w:r>
      <w:r w:rsidR="00F95BBD">
        <w:t xml:space="preserve"> performed the following procedures to complete its forensic </w:t>
      </w:r>
      <w:r w:rsidR="004E55D5">
        <w:t>review</w:t>
      </w:r>
      <w:r w:rsidR="00C100B0">
        <w:t xml:space="preserve"> of the two funds</w:t>
      </w:r>
      <w:r w:rsidR="00F95BBD">
        <w:t>:</w:t>
      </w:r>
    </w:p>
    <w:p w:rsidR="00BA3669" w:rsidRDefault="00BA3669" w:rsidP="00BA3669">
      <w:pPr>
        <w:pStyle w:val="Heading2"/>
      </w:pPr>
      <w:bookmarkStart w:id="22" w:name="_Toc3477544"/>
      <w:r>
        <w:t>Interviews</w:t>
      </w:r>
      <w:bookmarkEnd w:id="22"/>
    </w:p>
    <w:p w:rsidR="00F95BBD" w:rsidRDefault="00F95BBD" w:rsidP="00F95BBD">
      <w:pPr>
        <w:pStyle w:val="Double"/>
      </w:pPr>
      <w:r>
        <w:t xml:space="preserve">Prior to starting our forensic analysis, </w:t>
      </w:r>
      <w:r w:rsidR="00545E76">
        <w:t>Baker</w:t>
      </w:r>
      <w:r>
        <w:t xml:space="preserve"> </w:t>
      </w:r>
      <w:r w:rsidR="00545E76">
        <w:t>Tilly</w:t>
      </w:r>
      <w:r w:rsidR="00391E7E">
        <w:t xml:space="preserve"> formally interviewed five representatives from Howard County</w:t>
      </w:r>
      <w:r w:rsidR="001A6F3F">
        <w:t xml:space="preserve"> on March 16, 2018</w:t>
      </w:r>
      <w:r w:rsidR="00E104A8">
        <w:t xml:space="preserve">.  </w:t>
      </w:r>
      <w:r>
        <w:t xml:space="preserve">Those interviewed, and their title at the </w:t>
      </w:r>
      <w:r w:rsidR="00391E7E">
        <w:t>time</w:t>
      </w:r>
      <w:r>
        <w:t xml:space="preserve"> of the interview, include:</w:t>
      </w:r>
    </w:p>
    <w:p w:rsidR="00F95BBD" w:rsidRDefault="00391E7E" w:rsidP="00F95BBD">
      <w:pPr>
        <w:pStyle w:val="Double"/>
        <w:numPr>
          <w:ilvl w:val="0"/>
          <w:numId w:val="17"/>
        </w:numPr>
      </w:pPr>
      <w:r>
        <w:t>David Clark (“</w:t>
      </w:r>
      <w:r w:rsidRPr="00391E7E">
        <w:rPr>
          <w:u w:val="single"/>
        </w:rPr>
        <w:t>Mr. Clark</w:t>
      </w:r>
      <w:r>
        <w:t>”), Internal Auditor for HCPSS</w:t>
      </w:r>
    </w:p>
    <w:p w:rsidR="00F95BBD" w:rsidRDefault="001A6F3F" w:rsidP="00F95BBD">
      <w:pPr>
        <w:pStyle w:val="Double"/>
        <w:numPr>
          <w:ilvl w:val="0"/>
          <w:numId w:val="17"/>
        </w:numPr>
      </w:pPr>
      <w:r>
        <w:t>William</w:t>
      </w:r>
      <w:r w:rsidR="00391E7E">
        <w:t xml:space="preserve"> Barnes (“</w:t>
      </w:r>
      <w:r w:rsidR="00391E7E">
        <w:rPr>
          <w:u w:val="single"/>
        </w:rPr>
        <w:t>M</w:t>
      </w:r>
      <w:r w:rsidR="00391E7E" w:rsidRPr="00391E7E">
        <w:rPr>
          <w:u w:val="single"/>
        </w:rPr>
        <w:t>r. Barnes</w:t>
      </w:r>
      <w:r w:rsidR="00391E7E">
        <w:t>”), Chief Academic Officer</w:t>
      </w:r>
    </w:p>
    <w:p w:rsidR="00391E7E" w:rsidRDefault="00391E7E" w:rsidP="00391E7E">
      <w:pPr>
        <w:pStyle w:val="Double"/>
        <w:numPr>
          <w:ilvl w:val="0"/>
          <w:numId w:val="17"/>
        </w:numPr>
      </w:pPr>
      <w:r>
        <w:t>Caroline Walker</w:t>
      </w:r>
      <w:r w:rsidR="00195344">
        <w:t xml:space="preserve"> (“</w:t>
      </w:r>
      <w:r w:rsidR="00195344" w:rsidRPr="00195344">
        <w:rPr>
          <w:u w:val="single"/>
        </w:rPr>
        <w:t>Ms. Walker</w:t>
      </w:r>
      <w:r w:rsidR="00195344">
        <w:t>”)</w:t>
      </w:r>
      <w:r>
        <w:t xml:space="preserve">, Director of Alternative Educational Pathways </w:t>
      </w:r>
      <w:r w:rsidR="00195344">
        <w:t>and Innovative Thinking</w:t>
      </w:r>
    </w:p>
    <w:p w:rsidR="00391E7E" w:rsidRDefault="00391E7E" w:rsidP="00391E7E">
      <w:pPr>
        <w:pStyle w:val="Double"/>
        <w:numPr>
          <w:ilvl w:val="0"/>
          <w:numId w:val="17"/>
        </w:numPr>
      </w:pPr>
      <w:r>
        <w:t>Greg Bara</w:t>
      </w:r>
      <w:r w:rsidR="00195344">
        <w:t xml:space="preserve"> (“</w:t>
      </w:r>
      <w:r w:rsidR="00195344" w:rsidRPr="00195344">
        <w:rPr>
          <w:u w:val="single"/>
        </w:rPr>
        <w:t>Mr. Bara</w:t>
      </w:r>
      <w:r w:rsidR="00195344">
        <w:t>”), Accounting Manager</w:t>
      </w:r>
    </w:p>
    <w:p w:rsidR="00391E7E" w:rsidRDefault="00391E7E" w:rsidP="00391E7E">
      <w:pPr>
        <w:pStyle w:val="Double"/>
        <w:numPr>
          <w:ilvl w:val="0"/>
          <w:numId w:val="17"/>
        </w:numPr>
      </w:pPr>
      <w:r>
        <w:t>Jeeni Griffin (“</w:t>
      </w:r>
      <w:r w:rsidRPr="00195344">
        <w:rPr>
          <w:u w:val="single"/>
        </w:rPr>
        <w:t>Ms. Griffin</w:t>
      </w:r>
      <w:r>
        <w:t>”)</w:t>
      </w:r>
      <w:r w:rsidR="00C100B0">
        <w:t>,</w:t>
      </w:r>
      <w:r w:rsidR="00195344">
        <w:t xml:space="preserve"> Benefits Manager</w:t>
      </w:r>
    </w:p>
    <w:p w:rsidR="00A526E7" w:rsidRDefault="001A6F3F" w:rsidP="001A6F3F">
      <w:pPr>
        <w:pStyle w:val="Double"/>
      </w:pPr>
      <w:r>
        <w:t xml:space="preserve">Interviews were conducted on site at the Howard County Board of Education building.  </w:t>
      </w:r>
      <w:r w:rsidR="00B2606F">
        <w:t xml:space="preserve">We asked each interviewee selective questions and asked for their replies to be based on </w:t>
      </w:r>
      <w:r w:rsidR="00B2606F" w:rsidRPr="00D57C07">
        <w:t xml:space="preserve">first-hand knowledge </w:t>
      </w:r>
      <w:r w:rsidR="00B2606F">
        <w:t xml:space="preserve">and not </w:t>
      </w:r>
      <w:r w:rsidR="00B2606F" w:rsidRPr="00D57C07">
        <w:t>on hearsay, logical inference, or speculation</w:t>
      </w:r>
      <w:r w:rsidR="00B2606F">
        <w:t xml:space="preserve"> relating to the cause of the investigation.  Our questioning focused on </w:t>
      </w:r>
      <w:r>
        <w:t xml:space="preserve">the Health and Dental </w:t>
      </w:r>
      <w:r w:rsidR="00C100B0">
        <w:t xml:space="preserve">Fund </w:t>
      </w:r>
      <w:r>
        <w:t xml:space="preserve">and Grant </w:t>
      </w:r>
      <w:r w:rsidR="00C100B0">
        <w:t>Fund</w:t>
      </w:r>
      <w:r>
        <w:t xml:space="preserve"> along with the processes in place for approval of transactions.  </w:t>
      </w:r>
    </w:p>
    <w:p w:rsidR="00BA3669" w:rsidRDefault="00BA3669" w:rsidP="00BA3669">
      <w:pPr>
        <w:pStyle w:val="Heading2"/>
      </w:pPr>
      <w:bookmarkStart w:id="23" w:name="_Toc2682720"/>
      <w:bookmarkStart w:id="24" w:name="_Toc3477545"/>
      <w:r>
        <w:t>Document Review and Analysis</w:t>
      </w:r>
      <w:bookmarkEnd w:id="23"/>
      <w:bookmarkEnd w:id="24"/>
    </w:p>
    <w:p w:rsidR="001A6F3F" w:rsidRPr="001A6F3F" w:rsidRDefault="00545E76" w:rsidP="001A6F3F">
      <w:pPr>
        <w:pStyle w:val="Double"/>
      </w:pPr>
      <w:r>
        <w:t>Baker</w:t>
      </w:r>
      <w:r w:rsidR="001A6F3F">
        <w:t xml:space="preserve"> </w:t>
      </w:r>
      <w:r>
        <w:t>Tilly</w:t>
      </w:r>
      <w:r w:rsidR="001A6F3F">
        <w:t xml:space="preserve"> conducted document review and analysis on various </w:t>
      </w:r>
      <w:r w:rsidR="00C100B0">
        <w:t xml:space="preserve">financial </w:t>
      </w:r>
      <w:r w:rsidR="001A6F3F">
        <w:t>aspects of HCPSS</w:t>
      </w:r>
      <w:r w:rsidR="00C100B0">
        <w:t xml:space="preserve"> operations</w:t>
      </w:r>
      <w:r w:rsidR="00E104A8">
        <w:t xml:space="preserve">.  </w:t>
      </w:r>
      <w:r w:rsidR="001A6F3F">
        <w:t xml:space="preserve">These include financial statements, grant activity, </w:t>
      </w:r>
      <w:r w:rsidR="00CE06DA">
        <w:t xml:space="preserve">preliminary sample review, </w:t>
      </w:r>
      <w:r w:rsidR="00AB78E2">
        <w:t>certain actuarial information</w:t>
      </w:r>
      <w:r w:rsidR="001A6F3F">
        <w:t xml:space="preserve">, </w:t>
      </w:r>
      <w:r w:rsidR="006833A2">
        <w:t xml:space="preserve">and </w:t>
      </w:r>
      <w:r w:rsidR="001A6F3F">
        <w:t xml:space="preserve">Health and Dental </w:t>
      </w:r>
      <w:r>
        <w:t>Fund</w:t>
      </w:r>
      <w:r w:rsidR="001A6F3F">
        <w:t xml:space="preserve"> and Grant </w:t>
      </w:r>
      <w:r>
        <w:t>Fund</w:t>
      </w:r>
      <w:r w:rsidR="006833A2">
        <w:t xml:space="preserve"> transactional data</w:t>
      </w:r>
      <w:r w:rsidR="00E104A8">
        <w:t xml:space="preserve">.  </w:t>
      </w:r>
      <w:r w:rsidR="00542716">
        <w:t>Set forth is</w:t>
      </w:r>
      <w:r w:rsidR="006833A2">
        <w:t xml:space="preserve"> our methodology for</w:t>
      </w:r>
      <w:r w:rsidR="001A6F3F">
        <w:t xml:space="preserve"> each </w:t>
      </w:r>
      <w:r w:rsidR="00A64456">
        <w:t>area of review and analysis.</w:t>
      </w:r>
      <w:r w:rsidR="00B2606F">
        <w:t xml:space="preserve"> </w:t>
      </w:r>
      <w:r w:rsidR="00A64456">
        <w:t xml:space="preserve"> </w:t>
      </w:r>
    </w:p>
    <w:p w:rsidR="007A50B7" w:rsidRDefault="007A50B7" w:rsidP="004D4B30">
      <w:pPr>
        <w:pStyle w:val="Heading3"/>
      </w:pPr>
      <w:bookmarkStart w:id="25" w:name="_Toc3477546"/>
      <w:r>
        <w:lastRenderedPageBreak/>
        <w:t>Preliminary Review and Analyses</w:t>
      </w:r>
      <w:bookmarkEnd w:id="25"/>
    </w:p>
    <w:p w:rsidR="004D4B30" w:rsidRDefault="004D4B30" w:rsidP="007A50B7">
      <w:pPr>
        <w:pStyle w:val="Heading4"/>
      </w:pPr>
      <w:r>
        <w:t>Analysis of the Financial Statements</w:t>
      </w:r>
    </w:p>
    <w:p w:rsidR="004D4B30" w:rsidRPr="004D4B30" w:rsidRDefault="00545E76" w:rsidP="004D4B30">
      <w:pPr>
        <w:pStyle w:val="Double"/>
      </w:pPr>
      <w:r>
        <w:t>Baker</w:t>
      </w:r>
      <w:r w:rsidR="004D4B30">
        <w:t xml:space="preserve"> </w:t>
      </w:r>
      <w:r>
        <w:t>Tilly</w:t>
      </w:r>
      <w:r w:rsidR="004D4B30">
        <w:t xml:space="preserve"> </w:t>
      </w:r>
      <w:r w:rsidR="00077825">
        <w:t>performed</w:t>
      </w:r>
      <w:r w:rsidR="004D4B30">
        <w:t xml:space="preserve"> a review of the financial statements for HCPSS to obtain an understanding of relevant </w:t>
      </w:r>
      <w:r w:rsidR="00CE06DA">
        <w:t>information</w:t>
      </w:r>
      <w:r w:rsidR="004D4B30">
        <w:t xml:space="preserve"> related to the Health and Dental</w:t>
      </w:r>
      <w:r w:rsidR="0053381C">
        <w:t xml:space="preserve"> Fund</w:t>
      </w:r>
      <w:r w:rsidR="004D4B30">
        <w:t xml:space="preserve"> and Grant </w:t>
      </w:r>
      <w:r w:rsidR="0053381C">
        <w:t>Fund</w:t>
      </w:r>
      <w:r w:rsidR="00E104A8">
        <w:t xml:space="preserve">.  </w:t>
      </w:r>
      <w:r w:rsidR="00077825">
        <w:t xml:space="preserve">The financial statements </w:t>
      </w:r>
      <w:r w:rsidR="0032592B">
        <w:t xml:space="preserve">analyzed </w:t>
      </w:r>
      <w:r w:rsidR="0053381C">
        <w:t>covered</w:t>
      </w:r>
      <w:r w:rsidR="00A64456">
        <w:t xml:space="preserve"> </w:t>
      </w:r>
      <w:r w:rsidR="00B2606F">
        <w:t>the Relevant Period</w:t>
      </w:r>
      <w:r w:rsidR="00077825">
        <w:t>.</w:t>
      </w:r>
    </w:p>
    <w:p w:rsidR="004D4B30" w:rsidRDefault="004D4B30" w:rsidP="007A50B7">
      <w:pPr>
        <w:pStyle w:val="Heading4"/>
      </w:pPr>
      <w:r>
        <w:t xml:space="preserve">Summary of Grant </w:t>
      </w:r>
      <w:r w:rsidR="001A6F3F">
        <w:t>Activity</w:t>
      </w:r>
    </w:p>
    <w:p w:rsidR="00077825" w:rsidRPr="00077825" w:rsidRDefault="00545E76" w:rsidP="00077825">
      <w:pPr>
        <w:pStyle w:val="Double"/>
      </w:pPr>
      <w:r>
        <w:t>Baker</w:t>
      </w:r>
      <w:r w:rsidR="00077825">
        <w:t xml:space="preserve"> </w:t>
      </w:r>
      <w:r>
        <w:t>Tilly</w:t>
      </w:r>
      <w:r w:rsidR="00077825">
        <w:t xml:space="preserve"> performed a review of the grant population </w:t>
      </w:r>
      <w:r w:rsidR="00275889">
        <w:t xml:space="preserve">across all funds (not limited to just the Health and Dental Fund or Grant Fund) </w:t>
      </w:r>
      <w:r w:rsidR="00077825">
        <w:t>during the Relevant Period</w:t>
      </w:r>
      <w:r w:rsidR="00E104A8">
        <w:t xml:space="preserve">.  </w:t>
      </w:r>
      <w:r w:rsidR="00077825">
        <w:t>This review was to obtain an understanding of the total population of grants that were active.</w:t>
      </w:r>
    </w:p>
    <w:p w:rsidR="004D4B30" w:rsidRDefault="00CE06DA" w:rsidP="007A50B7">
      <w:pPr>
        <w:pStyle w:val="Heading4"/>
      </w:pPr>
      <w:r>
        <w:t>Preliminary</w:t>
      </w:r>
      <w:r w:rsidR="004D4B30">
        <w:t xml:space="preserve"> Sample Review</w:t>
      </w:r>
    </w:p>
    <w:p w:rsidR="00077825" w:rsidRPr="00077825" w:rsidRDefault="00545E76" w:rsidP="00077825">
      <w:pPr>
        <w:pStyle w:val="Double"/>
      </w:pPr>
      <w:r>
        <w:t>Baker</w:t>
      </w:r>
      <w:r w:rsidR="00077825">
        <w:t xml:space="preserve"> </w:t>
      </w:r>
      <w:r>
        <w:t>Tilly</w:t>
      </w:r>
      <w:r w:rsidR="00077825">
        <w:t xml:space="preserve"> conducted a preliminary sample review of HCPSS financial data to understand the types of supporting documentation available to substantiate the transactions that would be selected in the sample for </w:t>
      </w:r>
      <w:r w:rsidR="0053381C">
        <w:t xml:space="preserve">a forensic review of </w:t>
      </w:r>
      <w:r w:rsidR="00077825">
        <w:t xml:space="preserve">both the Health and Dental </w:t>
      </w:r>
      <w:r>
        <w:t>Fund</w:t>
      </w:r>
      <w:r w:rsidR="00077825">
        <w:t xml:space="preserve"> and the Grant </w:t>
      </w:r>
      <w:r>
        <w:t>Fund</w:t>
      </w:r>
      <w:r w:rsidR="00E104A8">
        <w:t xml:space="preserve">.  </w:t>
      </w:r>
    </w:p>
    <w:p w:rsidR="004D4B30" w:rsidRDefault="00AB78E2" w:rsidP="007A50B7">
      <w:pPr>
        <w:pStyle w:val="Heading4"/>
      </w:pPr>
      <w:r>
        <w:t>Review</w:t>
      </w:r>
      <w:r w:rsidR="004D4B30">
        <w:t xml:space="preserve"> of Actuarial </w:t>
      </w:r>
      <w:r w:rsidR="00B82B81">
        <w:t>Reports</w:t>
      </w:r>
    </w:p>
    <w:p w:rsidR="000360AE" w:rsidRPr="000360AE" w:rsidRDefault="000360AE" w:rsidP="00CE06DA">
      <w:pPr>
        <w:pStyle w:val="Double"/>
      </w:pPr>
      <w:r>
        <w:t xml:space="preserve">To gain </w:t>
      </w:r>
      <w:r w:rsidR="00926D15">
        <w:t xml:space="preserve">an </w:t>
      </w:r>
      <w:r>
        <w:t>understanding of t</w:t>
      </w:r>
      <w:r w:rsidR="00AB78E2">
        <w:t>he changes in the actuarial information year over year</w:t>
      </w:r>
      <w:r>
        <w:t xml:space="preserve">, </w:t>
      </w:r>
      <w:r w:rsidR="00545E76">
        <w:t>Baker</w:t>
      </w:r>
      <w:r>
        <w:t xml:space="preserve"> </w:t>
      </w:r>
      <w:r w:rsidR="00545E76">
        <w:t>Tilly</w:t>
      </w:r>
      <w:r w:rsidR="00AB78E2">
        <w:t xml:space="preserve"> conducted a review of</w:t>
      </w:r>
      <w:r>
        <w:t xml:space="preserve"> the actuarial projections</w:t>
      </w:r>
      <w:r w:rsidR="00AB78E2">
        <w:t xml:space="preserve"> </w:t>
      </w:r>
      <w:r w:rsidR="00E53EC1">
        <w:t>in comparison</w:t>
      </w:r>
      <w:r w:rsidR="00AB78E2">
        <w:t xml:space="preserve"> to the Health and Dental Fund budget.</w:t>
      </w:r>
      <w:r w:rsidR="00AB78E2">
        <w:rPr>
          <w:rStyle w:val="FootnoteReference"/>
        </w:rPr>
        <w:footnoteReference w:id="16"/>
      </w:r>
      <w:r w:rsidR="00E104A8">
        <w:t xml:space="preserve">  </w:t>
      </w:r>
      <w:r>
        <w:t xml:space="preserve">This </w:t>
      </w:r>
      <w:r w:rsidR="0015761A">
        <w:t>review</w:t>
      </w:r>
      <w:r>
        <w:t xml:space="preserve"> also included a comparison of the projections to the actual claims and administrative fees incurred</w:t>
      </w:r>
      <w:r w:rsidR="0015761A">
        <w:t xml:space="preserve">, </w:t>
      </w:r>
      <w:r w:rsidR="0053381C">
        <w:t xml:space="preserve">and </w:t>
      </w:r>
      <w:r w:rsidR="0015761A">
        <w:t>changes in the costs, rates</w:t>
      </w:r>
      <w:r w:rsidR="0053381C">
        <w:t>,</w:t>
      </w:r>
      <w:r w:rsidR="0015761A">
        <w:t xml:space="preserve"> and benefits at HCPSS</w:t>
      </w:r>
      <w:r>
        <w:t>.</w:t>
      </w:r>
    </w:p>
    <w:p w:rsidR="004D4B30" w:rsidRDefault="00926D15" w:rsidP="007A50B7">
      <w:pPr>
        <w:pStyle w:val="Heading4"/>
      </w:pPr>
      <w:r>
        <w:lastRenderedPageBreak/>
        <w:t>Examination</w:t>
      </w:r>
      <w:r w:rsidR="004D4B30">
        <w:t xml:space="preserve"> of Data</w:t>
      </w:r>
      <w:r w:rsidR="00AB2E5A">
        <w:t xml:space="preserve"> Provided</w:t>
      </w:r>
    </w:p>
    <w:p w:rsidR="00C46DD1" w:rsidRPr="00C46DD1" w:rsidRDefault="00545E76" w:rsidP="00C46DD1">
      <w:pPr>
        <w:pStyle w:val="Double"/>
      </w:pPr>
      <w:r>
        <w:t>Baker</w:t>
      </w:r>
      <w:r w:rsidR="00C46DD1">
        <w:t xml:space="preserve"> </w:t>
      </w:r>
      <w:r>
        <w:t>Tilly</w:t>
      </w:r>
      <w:r w:rsidR="00C46DD1">
        <w:t xml:space="preserve"> reviewed the </w:t>
      </w:r>
      <w:r w:rsidR="00926D15">
        <w:t xml:space="preserve">transactional </w:t>
      </w:r>
      <w:r w:rsidR="00C46DD1">
        <w:t xml:space="preserve">data </w:t>
      </w:r>
      <w:r w:rsidR="00A64456">
        <w:t xml:space="preserve">generated by </w:t>
      </w:r>
      <w:r w:rsidR="00C46DD1">
        <w:t xml:space="preserve">HCPSS for the Health and Dental </w:t>
      </w:r>
      <w:r>
        <w:t>Fund</w:t>
      </w:r>
      <w:r w:rsidR="00C46DD1">
        <w:t xml:space="preserve"> and the Grant </w:t>
      </w:r>
      <w:r>
        <w:t>Fund</w:t>
      </w:r>
      <w:r w:rsidR="00E104A8">
        <w:t xml:space="preserve">.  </w:t>
      </w:r>
      <w:r w:rsidR="00926D15">
        <w:t>The objective of the e</w:t>
      </w:r>
      <w:r w:rsidR="00C46DD1">
        <w:t xml:space="preserve">xamination </w:t>
      </w:r>
      <w:r w:rsidR="005F088A">
        <w:t>was to determine if the data was complete</w:t>
      </w:r>
      <w:r w:rsidR="00B2606F">
        <w:t xml:space="preserve"> and accurate</w:t>
      </w:r>
      <w:r w:rsidR="00E104A8">
        <w:t xml:space="preserve">.  </w:t>
      </w:r>
      <w:r w:rsidR="00926D15">
        <w:t xml:space="preserve">Baker Tilly determined that some data </w:t>
      </w:r>
      <w:r w:rsidR="00B2606F">
        <w:t xml:space="preserve">needed to be structured </w:t>
      </w:r>
      <w:r w:rsidR="00926D15">
        <w:t xml:space="preserve">because of </w:t>
      </w:r>
      <w:r w:rsidR="00B54A93">
        <w:t>differing formats</w:t>
      </w:r>
      <w:r w:rsidR="00B2606F">
        <w:t>, resulting from the use of</w:t>
      </w:r>
      <w:r w:rsidR="00926D15">
        <w:t xml:space="preserve"> </w:t>
      </w:r>
      <w:r w:rsidR="00BC5883">
        <w:t xml:space="preserve">two different </w:t>
      </w:r>
      <w:r w:rsidR="005F088A">
        <w:t xml:space="preserve">accounting </w:t>
      </w:r>
      <w:r w:rsidR="00BC5883">
        <w:t>systems</w:t>
      </w:r>
      <w:r w:rsidR="00926D15">
        <w:t xml:space="preserve"> during the Relevant Period</w:t>
      </w:r>
      <w:r w:rsidR="005F088A">
        <w:t>.</w:t>
      </w:r>
    </w:p>
    <w:p w:rsidR="002A23DA" w:rsidRDefault="002A23DA" w:rsidP="004D4B30">
      <w:pPr>
        <w:pStyle w:val="Heading3"/>
      </w:pPr>
      <w:bookmarkStart w:id="26" w:name="_Toc3477547"/>
      <w:r>
        <w:t xml:space="preserve">Health and </w:t>
      </w:r>
      <w:r w:rsidR="00CE06DA">
        <w:t xml:space="preserve">Dental </w:t>
      </w:r>
      <w:r w:rsidR="00545E76">
        <w:t>Fund</w:t>
      </w:r>
      <w:r w:rsidR="00830FAC">
        <w:t xml:space="preserve"> and Grant </w:t>
      </w:r>
      <w:r w:rsidR="00545E76">
        <w:t>Fund</w:t>
      </w:r>
      <w:bookmarkEnd w:id="26"/>
    </w:p>
    <w:p w:rsidR="00264526" w:rsidRPr="005B5130" w:rsidRDefault="00545E76" w:rsidP="00264526">
      <w:pPr>
        <w:pStyle w:val="Double"/>
      </w:pPr>
      <w:r>
        <w:t>Baker</w:t>
      </w:r>
      <w:r w:rsidR="00264526">
        <w:t xml:space="preserve"> </w:t>
      </w:r>
      <w:r>
        <w:t>Tilly</w:t>
      </w:r>
      <w:r w:rsidR="00264526">
        <w:t xml:space="preserve"> performed an initial review and analysis of HCPSS Health and Dental </w:t>
      </w:r>
      <w:r>
        <w:t>Fund</w:t>
      </w:r>
      <w:r w:rsidR="00926D15">
        <w:t xml:space="preserve"> and </w:t>
      </w:r>
      <w:r w:rsidR="00830FAC">
        <w:t xml:space="preserve">Grant </w:t>
      </w:r>
      <w:r>
        <w:t>Fund</w:t>
      </w:r>
      <w:r w:rsidR="00264526">
        <w:t xml:space="preserve"> transactions. </w:t>
      </w:r>
    </w:p>
    <w:p w:rsidR="002A23DA" w:rsidRPr="007B1CC3" w:rsidRDefault="002A23DA" w:rsidP="002A23DA">
      <w:pPr>
        <w:pStyle w:val="Heading4"/>
      </w:pPr>
      <w:r w:rsidRPr="007B1CC3">
        <w:t>Sample Selection</w:t>
      </w:r>
    </w:p>
    <w:p w:rsidR="005605CD" w:rsidRDefault="00545E76" w:rsidP="007B1CC3">
      <w:pPr>
        <w:pStyle w:val="Double"/>
      </w:pPr>
      <w:r>
        <w:t>Baker</w:t>
      </w:r>
      <w:r w:rsidR="007B1CC3" w:rsidRPr="007B1CC3">
        <w:t xml:space="preserve"> </w:t>
      </w:r>
      <w:r>
        <w:t>Tilly</w:t>
      </w:r>
      <w:r w:rsidR="007B1CC3" w:rsidRPr="007B1CC3">
        <w:t xml:space="preserve"> </w:t>
      </w:r>
      <w:r w:rsidR="002F43D7">
        <w:t>reviewed</w:t>
      </w:r>
      <w:r w:rsidR="007B1CC3" w:rsidRPr="007B1CC3">
        <w:t xml:space="preserve"> the general ledger detail </w:t>
      </w:r>
      <w:r w:rsidR="004D4B30">
        <w:t xml:space="preserve">provided by HCPSS </w:t>
      </w:r>
      <w:r w:rsidR="007B1CC3" w:rsidRPr="007B1CC3">
        <w:t>for the</w:t>
      </w:r>
      <w:r w:rsidR="00830FAC">
        <w:t xml:space="preserve"> Health and Dental </w:t>
      </w:r>
      <w:r>
        <w:t>Fund</w:t>
      </w:r>
      <w:r w:rsidR="00830FAC">
        <w:t>, and the</w:t>
      </w:r>
      <w:r w:rsidR="007B1CC3" w:rsidRPr="007B1CC3">
        <w:t xml:space="preserve"> Grant </w:t>
      </w:r>
      <w:r>
        <w:t>Fund</w:t>
      </w:r>
      <w:r w:rsidR="00EC7BDC">
        <w:t>,</w:t>
      </w:r>
      <w:r w:rsidR="007B1CC3" w:rsidRPr="007B1CC3">
        <w:t xml:space="preserve"> to identify a sample </w:t>
      </w:r>
      <w:r w:rsidR="004D4B30">
        <w:t>population</w:t>
      </w:r>
      <w:r w:rsidR="00E104A8" w:rsidRPr="007B1CC3">
        <w:t xml:space="preserve">.  </w:t>
      </w:r>
      <w:r w:rsidR="007B1CC3" w:rsidRPr="007B1CC3">
        <w:t xml:space="preserve">The </w:t>
      </w:r>
      <w:r w:rsidR="002F43D7">
        <w:t xml:space="preserve">review included </w:t>
      </w:r>
      <w:r w:rsidR="007B1CC3" w:rsidRPr="007B1CC3">
        <w:t>round dolla</w:t>
      </w:r>
      <w:r w:rsidR="00EC7BDC">
        <w:t xml:space="preserve">r testing, </w:t>
      </w:r>
      <w:r w:rsidR="007B1CC3" w:rsidRPr="007B1CC3">
        <w:t>journal entries posted on weekends, journal entries without descriptions, entries that were post-dated, debit postings, credit postings, keywo</w:t>
      </w:r>
      <w:r w:rsidR="00EC7BDC">
        <w:t>rd searches, duplicates,</w:t>
      </w:r>
      <w:r w:rsidR="007B1CC3" w:rsidRPr="007B1CC3">
        <w:t xml:space="preserve"> and random samples of average value</w:t>
      </w:r>
      <w:r w:rsidR="00E104A8" w:rsidRPr="007B1CC3">
        <w:t xml:space="preserve">.  </w:t>
      </w:r>
      <w:r w:rsidR="007B1CC3" w:rsidRPr="007B1CC3">
        <w:t>The results were used to create a sample population.</w:t>
      </w:r>
      <w:r w:rsidR="0014515B">
        <w:t xml:space="preserve"> </w:t>
      </w:r>
    </w:p>
    <w:p w:rsidR="003A08EC" w:rsidRDefault="002125D8" w:rsidP="007B1CC3">
      <w:pPr>
        <w:pStyle w:val="Double"/>
      </w:pPr>
      <w:r>
        <w:t xml:space="preserve">Baker Tilly began </w:t>
      </w:r>
      <w:r w:rsidR="00275889">
        <w:t>its</w:t>
      </w:r>
      <w:r>
        <w:t xml:space="preserve"> forensic review </w:t>
      </w:r>
      <w:r w:rsidR="00275889">
        <w:t>with</w:t>
      </w:r>
      <w:r w:rsidR="003378B6">
        <w:t xml:space="preserve"> a starting population of</w:t>
      </w:r>
      <w:r w:rsidR="00275889">
        <w:t xml:space="preserve"> </w:t>
      </w:r>
      <w:r>
        <w:t xml:space="preserve">5,219 transactions </w:t>
      </w:r>
      <w:r w:rsidR="0018190D">
        <w:t>in</w:t>
      </w:r>
      <w:r>
        <w:t xml:space="preserve"> the Health and Dental Fund</w:t>
      </w:r>
      <w:r w:rsidR="00275889">
        <w:t xml:space="preserve"> for</w:t>
      </w:r>
      <w:r w:rsidR="00A64456">
        <w:t xml:space="preserve"> </w:t>
      </w:r>
      <w:r w:rsidR="003A08EC">
        <w:t>the Relevant Period</w:t>
      </w:r>
      <w:r>
        <w:t xml:space="preserve">.  </w:t>
      </w:r>
      <w:r w:rsidR="003378B6">
        <w:t xml:space="preserve">Using the </w:t>
      </w:r>
      <w:r w:rsidR="00474389">
        <w:t xml:space="preserve">review </w:t>
      </w:r>
      <w:r w:rsidR="00A64456">
        <w:t>methodology mentioned</w:t>
      </w:r>
      <w:r>
        <w:t xml:space="preserve"> above, </w:t>
      </w:r>
      <w:r w:rsidR="00275889">
        <w:t>the</w:t>
      </w:r>
      <w:r w:rsidR="0014515B">
        <w:t xml:space="preserve"> population size was </w:t>
      </w:r>
      <w:r w:rsidR="005605CD">
        <w:t>reduced</w:t>
      </w:r>
      <w:r w:rsidR="00A64456">
        <w:t xml:space="preserve"> </w:t>
      </w:r>
      <w:r w:rsidR="003378B6">
        <w:t xml:space="preserve">to </w:t>
      </w:r>
      <w:r>
        <w:t>2,915</w:t>
      </w:r>
      <w:r w:rsidR="0014515B">
        <w:t xml:space="preserve"> transactions</w:t>
      </w:r>
      <w:r w:rsidR="003378B6">
        <w:t>, and then</w:t>
      </w:r>
      <w:r>
        <w:t xml:space="preserve"> further </w:t>
      </w:r>
      <w:r w:rsidR="001E7166">
        <w:t xml:space="preserve">reduced </w:t>
      </w:r>
      <w:r w:rsidR="002C1E0A">
        <w:t xml:space="preserve">to 402 transactions </w:t>
      </w:r>
      <w:r w:rsidR="00B910A1">
        <w:t>by removing duplicate entries.</w:t>
      </w:r>
      <w:r w:rsidR="002C1E0A">
        <w:t xml:space="preserve">  Baker Tilly </w:t>
      </w:r>
      <w:r w:rsidR="00B910A1">
        <w:t>used statistical</w:t>
      </w:r>
      <w:r w:rsidR="003378B6">
        <w:t xml:space="preserve"> sampling </w:t>
      </w:r>
      <w:r w:rsidR="00877194">
        <w:t xml:space="preserve">to attain a minimum 95% confidence level with a </w:t>
      </w:r>
      <w:r w:rsidR="00A37605">
        <w:t xml:space="preserve">5% </w:t>
      </w:r>
      <w:r w:rsidR="00877194">
        <w:t>margin of error</w:t>
      </w:r>
      <w:r w:rsidR="002C1E0A">
        <w:t xml:space="preserve"> for a 358 suggested sample size.  </w:t>
      </w:r>
      <w:r w:rsidR="005605CD">
        <w:t xml:space="preserve">Because the </w:t>
      </w:r>
      <w:r w:rsidR="004A5506">
        <w:t xml:space="preserve">reduced </w:t>
      </w:r>
      <w:r w:rsidR="00B803A6">
        <w:t xml:space="preserve">sample </w:t>
      </w:r>
      <w:r w:rsidR="00A64456">
        <w:t>size of</w:t>
      </w:r>
      <w:r w:rsidR="004A5506">
        <w:t xml:space="preserve"> </w:t>
      </w:r>
      <w:r w:rsidR="00B910A1">
        <w:t xml:space="preserve">(402) </w:t>
      </w:r>
      <w:r w:rsidR="004A5506">
        <w:t xml:space="preserve">was close to </w:t>
      </w:r>
      <w:r w:rsidR="00B803A6">
        <w:t xml:space="preserve">the suggested </w:t>
      </w:r>
      <w:r w:rsidR="00B910A1">
        <w:t xml:space="preserve">statistical </w:t>
      </w:r>
      <w:r w:rsidR="00B803A6">
        <w:t>sample</w:t>
      </w:r>
      <w:r w:rsidR="00B910A1">
        <w:t xml:space="preserve"> </w:t>
      </w:r>
      <w:r w:rsidR="004A5506">
        <w:t xml:space="preserve">size of </w:t>
      </w:r>
      <w:r w:rsidR="00B910A1">
        <w:t>(358)</w:t>
      </w:r>
      <w:r w:rsidR="00B803A6">
        <w:t>,</w:t>
      </w:r>
      <w:r w:rsidR="002C1E0A">
        <w:t xml:space="preserve"> Baker Tilly</w:t>
      </w:r>
      <w:r w:rsidR="004A5506">
        <w:t xml:space="preserve"> made the determination to </w:t>
      </w:r>
      <w:r w:rsidR="00B910A1">
        <w:t>include all 402 transactions</w:t>
      </w:r>
      <w:r w:rsidR="00A64456">
        <w:t xml:space="preserve"> </w:t>
      </w:r>
      <w:r w:rsidR="003A08EC">
        <w:t>in our testing.</w:t>
      </w:r>
      <w:r w:rsidR="00B910A1">
        <w:t xml:space="preserve">  </w:t>
      </w:r>
    </w:p>
    <w:p w:rsidR="007B1CC3" w:rsidRPr="007B1CC3" w:rsidRDefault="0014515B" w:rsidP="007B1CC3">
      <w:pPr>
        <w:pStyle w:val="Double"/>
      </w:pPr>
      <w:r w:rsidRPr="00877194">
        <w:lastRenderedPageBreak/>
        <w:t>The</w:t>
      </w:r>
      <w:r w:rsidR="003378B6" w:rsidRPr="00877194">
        <w:t xml:space="preserve"> starting population </w:t>
      </w:r>
      <w:r w:rsidR="008869F4" w:rsidRPr="00877194">
        <w:t>of Grant</w:t>
      </w:r>
      <w:r w:rsidRPr="00877194">
        <w:t xml:space="preserve"> F</w:t>
      </w:r>
      <w:r>
        <w:t xml:space="preserve">und </w:t>
      </w:r>
      <w:r w:rsidR="0018190D">
        <w:t xml:space="preserve">transactions for </w:t>
      </w:r>
      <w:r w:rsidR="003A08EC">
        <w:t>the Relevant Period</w:t>
      </w:r>
      <w:r w:rsidR="0018190D">
        <w:t xml:space="preserve"> w</w:t>
      </w:r>
      <w:r w:rsidR="003378B6">
        <w:t>as</w:t>
      </w:r>
      <w:r w:rsidR="0018190D">
        <w:t xml:space="preserve"> 132,832.  </w:t>
      </w:r>
      <w:r w:rsidR="003378B6">
        <w:t xml:space="preserve">Using the same </w:t>
      </w:r>
      <w:r w:rsidR="003A08EC">
        <w:t xml:space="preserve">review </w:t>
      </w:r>
      <w:r w:rsidR="00A64456">
        <w:t>methodology described</w:t>
      </w:r>
      <w:r w:rsidR="003378B6">
        <w:t xml:space="preserve"> above</w:t>
      </w:r>
      <w:r w:rsidR="0018190D">
        <w:t xml:space="preserve">, </w:t>
      </w:r>
      <w:r w:rsidR="003378B6">
        <w:t>the population size was reduced to</w:t>
      </w:r>
      <w:r w:rsidR="0018190D">
        <w:t xml:space="preserve"> 43,146 transactions, which was further </w:t>
      </w:r>
      <w:r w:rsidR="008564CE">
        <w:t>reduced</w:t>
      </w:r>
      <w:r w:rsidR="0018190D">
        <w:t xml:space="preserve"> </w:t>
      </w:r>
      <w:r w:rsidR="00877194">
        <w:t xml:space="preserve">to 10,427 using additional testing.  </w:t>
      </w:r>
      <w:r w:rsidR="008564CE">
        <w:t xml:space="preserve">Applying </w:t>
      </w:r>
      <w:r w:rsidR="008869F4">
        <w:t>statistical sampling</w:t>
      </w:r>
      <w:r w:rsidR="0094363C">
        <w:t xml:space="preserve"> to</w:t>
      </w:r>
      <w:r w:rsidR="00A64456">
        <w:t xml:space="preserve"> </w:t>
      </w:r>
      <w:r w:rsidR="00877194">
        <w:t>the re</w:t>
      </w:r>
      <w:r w:rsidR="008564CE">
        <w:t>duced</w:t>
      </w:r>
      <w:r w:rsidR="00A64456">
        <w:t xml:space="preserve"> </w:t>
      </w:r>
      <w:r w:rsidR="00877194">
        <w:t>population</w:t>
      </w:r>
      <w:r w:rsidR="0094363C">
        <w:t>,</w:t>
      </w:r>
      <w:r w:rsidR="00877194">
        <w:t xml:space="preserve"> </w:t>
      </w:r>
      <w:r w:rsidR="001E7166">
        <w:t>to attain a minimum 95% confidence level with a margin of error rate of 5%</w:t>
      </w:r>
      <w:r w:rsidR="0094363C">
        <w:t xml:space="preserve">, </w:t>
      </w:r>
      <w:r w:rsidR="001E7166">
        <w:t xml:space="preserve"> </w:t>
      </w:r>
      <w:r w:rsidR="008869F4">
        <w:t xml:space="preserve">a testing population of </w:t>
      </w:r>
      <w:r w:rsidR="00877194">
        <w:t>384</w:t>
      </w:r>
      <w:r w:rsidR="008869F4">
        <w:t xml:space="preserve"> </w:t>
      </w:r>
      <w:r w:rsidR="0094363C">
        <w:t xml:space="preserve">is required. </w:t>
      </w:r>
    </w:p>
    <w:p w:rsidR="002A23DA" w:rsidRPr="007B1CC3" w:rsidRDefault="002A23DA" w:rsidP="002A23DA">
      <w:pPr>
        <w:pStyle w:val="Heading4"/>
      </w:pPr>
      <w:r w:rsidRPr="007B1CC3">
        <w:t>Population Request</w:t>
      </w:r>
    </w:p>
    <w:p w:rsidR="007B1CC3" w:rsidRPr="00C06D46" w:rsidRDefault="00545E76" w:rsidP="008E177C">
      <w:pPr>
        <w:pStyle w:val="Double"/>
      </w:pPr>
      <w:r>
        <w:t>Baker</w:t>
      </w:r>
      <w:r w:rsidR="007B1CC3" w:rsidRPr="007B1CC3">
        <w:t xml:space="preserve"> </w:t>
      </w:r>
      <w:r>
        <w:t>Tilly</w:t>
      </w:r>
      <w:r w:rsidR="007B1CC3" w:rsidRPr="007B1CC3">
        <w:t xml:space="preserve"> requested supporting documentation </w:t>
      </w:r>
      <w:r w:rsidR="00D125ED">
        <w:t>from Howard County for</w:t>
      </w:r>
      <w:r w:rsidR="007B1CC3" w:rsidRPr="007B1CC3">
        <w:t xml:space="preserve"> the </w:t>
      </w:r>
      <w:r w:rsidR="00830FAC">
        <w:t xml:space="preserve">Health and Dental </w:t>
      </w:r>
      <w:r>
        <w:t>Fund</w:t>
      </w:r>
      <w:r w:rsidR="00830FAC">
        <w:t xml:space="preserve"> </w:t>
      </w:r>
      <w:r w:rsidR="0094363C">
        <w:t xml:space="preserve">(402) </w:t>
      </w:r>
      <w:r w:rsidR="00830FAC">
        <w:t xml:space="preserve">and the Grant </w:t>
      </w:r>
      <w:r>
        <w:t>Fund</w:t>
      </w:r>
      <w:r w:rsidR="00830FAC">
        <w:t xml:space="preserve"> </w:t>
      </w:r>
      <w:r w:rsidR="0094363C">
        <w:t xml:space="preserve">(384) </w:t>
      </w:r>
      <w:r w:rsidR="00830FAC">
        <w:t xml:space="preserve">for </w:t>
      </w:r>
      <w:r w:rsidR="007B1CC3" w:rsidRPr="007B1CC3">
        <w:t>each of the individual transactions</w:t>
      </w:r>
      <w:r w:rsidR="008869F4">
        <w:t xml:space="preserve"> in their respective </w:t>
      </w:r>
      <w:r w:rsidR="00830FAC">
        <w:t>sample population</w:t>
      </w:r>
      <w:r w:rsidR="008869F4">
        <w:t>s</w:t>
      </w:r>
      <w:r w:rsidR="00E104A8" w:rsidRPr="007B1CC3">
        <w:t xml:space="preserve">.  </w:t>
      </w:r>
      <w:r w:rsidR="007B1CC3" w:rsidRPr="007B1CC3">
        <w:t>Once the information was received, the forensic review was to be conducted</w:t>
      </w:r>
      <w:r w:rsidR="00E104A8" w:rsidRPr="007B1CC3">
        <w:t xml:space="preserve">.  </w:t>
      </w:r>
      <w:r w:rsidR="007B1CC3" w:rsidRPr="007B1CC3">
        <w:t xml:space="preserve">The types of support </w:t>
      </w:r>
      <w:r w:rsidR="00543739" w:rsidRPr="007B1CC3">
        <w:t>expected</w:t>
      </w:r>
      <w:r w:rsidR="007B1CC3" w:rsidRPr="007B1CC3">
        <w:t xml:space="preserve"> to be received were, bu</w:t>
      </w:r>
      <w:r w:rsidR="008E177C">
        <w:t xml:space="preserve">t </w:t>
      </w:r>
      <w:r w:rsidR="00543739">
        <w:t>not limited to, the following: i</w:t>
      </w:r>
      <w:r w:rsidR="008E177C">
        <w:t xml:space="preserve">nvoices, contracts, </w:t>
      </w:r>
      <w:r w:rsidR="00AE6009">
        <w:t>agreements</w:t>
      </w:r>
      <w:r w:rsidR="008E177C">
        <w:t xml:space="preserve">, </w:t>
      </w:r>
      <w:r w:rsidR="00990709">
        <w:t xml:space="preserve">batch proofs, </w:t>
      </w:r>
      <w:r w:rsidR="008E177C">
        <w:t>payment requests</w:t>
      </w:r>
      <w:r w:rsidR="00EC7BDC">
        <w:t>,</w:t>
      </w:r>
      <w:r w:rsidR="008E177C">
        <w:t xml:space="preserve"> and approval sheets.</w:t>
      </w:r>
      <w:r w:rsidR="00EC7BDC">
        <w:t xml:space="preserve">  As of the date of this </w:t>
      </w:r>
      <w:r w:rsidR="000755BF">
        <w:t>R</w:t>
      </w:r>
      <w:r w:rsidR="00EC7BDC">
        <w:t>eport, supporting documentation has only been received for the Health and Dental Fund.</w:t>
      </w:r>
      <w:r w:rsidR="00990709" w:rsidRPr="00990709">
        <w:t xml:space="preserve"> </w:t>
      </w:r>
    </w:p>
    <w:p w:rsidR="00F95BBD" w:rsidRDefault="00F95BBD" w:rsidP="00F95BBD">
      <w:pPr>
        <w:pStyle w:val="Heading2"/>
      </w:pPr>
      <w:bookmarkStart w:id="27" w:name="_Toc3477548"/>
      <w:r>
        <w:t>Forensic Review</w:t>
      </w:r>
      <w:bookmarkEnd w:id="27"/>
    </w:p>
    <w:p w:rsidR="000A7924" w:rsidRDefault="00545E76" w:rsidP="000A7924">
      <w:pPr>
        <w:pStyle w:val="Double"/>
      </w:pPr>
      <w:r>
        <w:t>Baker</w:t>
      </w:r>
      <w:r w:rsidR="000A7924">
        <w:t xml:space="preserve"> </w:t>
      </w:r>
      <w:r>
        <w:t>Tilly</w:t>
      </w:r>
      <w:r w:rsidR="000A7924">
        <w:t xml:space="preserve"> </w:t>
      </w:r>
      <w:r w:rsidR="00B130FF">
        <w:t xml:space="preserve">was to conduct </w:t>
      </w:r>
      <w:r w:rsidR="000A7924">
        <w:t xml:space="preserve">a forensic review of the supporting documentation received from HCPSS for the transactions in the selected </w:t>
      </w:r>
      <w:r w:rsidR="00AE6009">
        <w:t>populations</w:t>
      </w:r>
      <w:r w:rsidR="00B130FF">
        <w:t xml:space="preserve"> in both the Health and Dental </w:t>
      </w:r>
      <w:r>
        <w:t>Fund</w:t>
      </w:r>
      <w:r w:rsidR="00B130FF">
        <w:t xml:space="preserve"> and the Grant </w:t>
      </w:r>
      <w:r w:rsidR="00EC7BDC">
        <w:t>Fund; however, as of the date of this Report, only Health and Dental Fund transactions have been reviewed because requested support has not been received for the Grant Fund transactions.</w:t>
      </w:r>
      <w:r w:rsidR="00E104A8">
        <w:t xml:space="preserve">  </w:t>
      </w:r>
      <w:r w:rsidR="008E177C">
        <w:t xml:space="preserve">Each individual </w:t>
      </w:r>
      <w:r w:rsidR="00AE6009">
        <w:t>transaction</w:t>
      </w:r>
      <w:r w:rsidR="008E177C">
        <w:t xml:space="preserve"> in the sample population</w:t>
      </w:r>
      <w:r w:rsidR="00B130FF">
        <w:t xml:space="preserve">s in both of the </w:t>
      </w:r>
      <w:r>
        <w:t>Funds</w:t>
      </w:r>
      <w:r w:rsidR="00B130FF">
        <w:t xml:space="preserve"> were</w:t>
      </w:r>
      <w:r w:rsidR="008E177C">
        <w:t xml:space="preserve"> </w:t>
      </w:r>
      <w:r w:rsidR="00B130FF">
        <w:t xml:space="preserve">to be </w:t>
      </w:r>
      <w:r w:rsidR="008E177C">
        <w:t>examined through the same procedures</w:t>
      </w:r>
      <w:r w:rsidR="00E104A8">
        <w:t xml:space="preserve">.  </w:t>
      </w:r>
      <w:r>
        <w:t>Baker</w:t>
      </w:r>
      <w:r w:rsidR="008E177C">
        <w:t xml:space="preserve"> </w:t>
      </w:r>
      <w:r>
        <w:t>Tilly</w:t>
      </w:r>
      <w:r w:rsidR="008E177C">
        <w:t xml:space="preserve"> tested the following data</w:t>
      </w:r>
      <w:r w:rsidR="00EC7BDC">
        <w:t xml:space="preserve"> for the Health and Dental Fund</w:t>
      </w:r>
      <w:r w:rsidR="008E177C">
        <w:t xml:space="preserve">: type of journal entry source data, the memo of the transaction, the accounting date, supplier, spend categories and groups, transaction amount, </w:t>
      </w:r>
      <w:r w:rsidR="00AE6009">
        <w:t>work tags</w:t>
      </w:r>
      <w:r w:rsidR="008E177C">
        <w:t xml:space="preserve">, ledger account, cost center, program, </w:t>
      </w:r>
      <w:r w:rsidR="00EC7BDC">
        <w:t>f</w:t>
      </w:r>
      <w:r>
        <w:t>und</w:t>
      </w:r>
      <w:r w:rsidR="008E177C">
        <w:t xml:space="preserve">, </w:t>
      </w:r>
      <w:r w:rsidR="00EC7BDC">
        <w:t>presence of keywords</w:t>
      </w:r>
      <w:r w:rsidR="008E177C">
        <w:t xml:space="preserve">, </w:t>
      </w:r>
      <w:r w:rsidR="00EC7BDC">
        <w:t>transaction approvals</w:t>
      </w:r>
      <w:r w:rsidR="008E177C">
        <w:t xml:space="preserve">, and the </w:t>
      </w:r>
      <w:r w:rsidR="008E177C">
        <w:lastRenderedPageBreak/>
        <w:t>signatures on supporting documentation compared to approval in the computer system.</w:t>
      </w:r>
      <w:r w:rsidR="002C5CA2">
        <w:t xml:space="preserve"> Baker Tilly received support for </w:t>
      </w:r>
      <w:r w:rsidR="00CD3B85">
        <w:t>116 FY 2013 through FY 2016</w:t>
      </w:r>
      <w:r w:rsidR="002C5CA2">
        <w:t xml:space="preserve"> transactions</w:t>
      </w:r>
      <w:r w:rsidR="008869F4">
        <w:t xml:space="preserve"> and 121 transactions for </w:t>
      </w:r>
      <w:r w:rsidR="005A6270">
        <w:t xml:space="preserve">FY </w:t>
      </w:r>
      <w:r w:rsidR="00885F3B">
        <w:t>2017</w:t>
      </w:r>
      <w:r w:rsidR="008869F4">
        <w:t>,</w:t>
      </w:r>
      <w:r w:rsidR="00CD3B85">
        <w:t xml:space="preserve"> totaling </w:t>
      </w:r>
      <w:r w:rsidR="005A6270">
        <w:t>237</w:t>
      </w:r>
      <w:r w:rsidR="008869F4">
        <w:t>.</w:t>
      </w:r>
      <w:r w:rsidR="002C5CA2">
        <w:t xml:space="preserve"> </w:t>
      </w:r>
      <w:r w:rsidR="008869F4">
        <w:t xml:space="preserve"> There were </w:t>
      </w:r>
      <w:r w:rsidR="002C5CA2">
        <w:t>165</w:t>
      </w:r>
      <w:r w:rsidR="008869F4">
        <w:t xml:space="preserve"> transactions outstanding that required Baker Tilly to go onsite and search for documentation to test.</w:t>
      </w:r>
    </w:p>
    <w:p w:rsidR="00492003" w:rsidRDefault="0052749F" w:rsidP="00492003">
      <w:pPr>
        <w:pStyle w:val="Heading2"/>
      </w:pPr>
      <w:bookmarkStart w:id="28" w:name="_Toc3477549"/>
      <w:r>
        <w:t>Ons</w:t>
      </w:r>
      <w:r w:rsidR="00394ED2">
        <w:t>ite V</w:t>
      </w:r>
      <w:r w:rsidR="00492003">
        <w:t>isit</w:t>
      </w:r>
      <w:bookmarkEnd w:id="28"/>
    </w:p>
    <w:p w:rsidR="007D67D6" w:rsidRDefault="00545E76" w:rsidP="00492003">
      <w:pPr>
        <w:pStyle w:val="Double"/>
      </w:pPr>
      <w:r>
        <w:t>Baker</w:t>
      </w:r>
      <w:r w:rsidR="007D67D6">
        <w:t xml:space="preserve"> </w:t>
      </w:r>
      <w:r>
        <w:t>Tilly</w:t>
      </w:r>
      <w:r w:rsidR="007D67D6">
        <w:t xml:space="preserve"> </w:t>
      </w:r>
      <w:r w:rsidR="0052749F">
        <w:t>conducted an</w:t>
      </w:r>
      <w:r w:rsidR="007D67D6">
        <w:t xml:space="preserve"> </w:t>
      </w:r>
      <w:r w:rsidR="0052749F">
        <w:t>onsite visit</w:t>
      </w:r>
      <w:r w:rsidR="007D67D6">
        <w:t xml:space="preserve"> to Howard County’s Board of Education building from October 29, 2018 to October 31, 2018.  During this </w:t>
      </w:r>
      <w:r w:rsidR="00E104A8">
        <w:t>time,</w:t>
      </w:r>
      <w:r w:rsidR="007D67D6">
        <w:t xml:space="preserve"> the </w:t>
      </w:r>
      <w:r>
        <w:t>Baker</w:t>
      </w:r>
      <w:r w:rsidR="007D67D6">
        <w:t xml:space="preserve"> </w:t>
      </w:r>
      <w:r w:rsidR="00E11F10">
        <w:t>Tilly pulled</w:t>
      </w:r>
      <w:r w:rsidR="0052749F">
        <w:t xml:space="preserve"> the outstanding transaction support for the remaining</w:t>
      </w:r>
      <w:r w:rsidR="00AA278D">
        <w:t xml:space="preserve"> 68 of</w:t>
      </w:r>
      <w:r w:rsidR="0052749F">
        <w:t xml:space="preserve"> </w:t>
      </w:r>
      <w:r w:rsidR="00AA278D">
        <w:t xml:space="preserve">165 </w:t>
      </w:r>
      <w:r w:rsidR="0052749F">
        <w:t>transactions in our testing sample</w:t>
      </w:r>
      <w:r w:rsidR="007D67D6">
        <w:t xml:space="preserve"> related to the Health and Dental </w:t>
      </w:r>
      <w:r>
        <w:t>Fund</w:t>
      </w:r>
      <w:r w:rsidR="007D67D6">
        <w:t xml:space="preserve">.  The documents were provided to the </w:t>
      </w:r>
      <w:r>
        <w:t>Baker</w:t>
      </w:r>
      <w:r w:rsidR="007D67D6">
        <w:t xml:space="preserve"> </w:t>
      </w:r>
      <w:r>
        <w:t>Tilly</w:t>
      </w:r>
      <w:r w:rsidR="007D67D6">
        <w:t xml:space="preserve"> team in banker boxes that were extracted from their </w:t>
      </w:r>
      <w:r w:rsidR="00DC4376">
        <w:t xml:space="preserve">off-site </w:t>
      </w:r>
      <w:r w:rsidR="007D67D6">
        <w:t>storage center</w:t>
      </w:r>
      <w:r w:rsidR="007921A3">
        <w:t xml:space="preserve"> </w:t>
      </w:r>
      <w:r w:rsidR="00DC4376">
        <w:t xml:space="preserve">with </w:t>
      </w:r>
      <w:r w:rsidR="007921A3">
        <w:t>Iron Mountain</w:t>
      </w:r>
      <w:r w:rsidR="00DC4376">
        <w:t xml:space="preserve"> or in the filing room in the Finance D</w:t>
      </w:r>
      <w:r w:rsidR="00AA278D">
        <w:t>epartment</w:t>
      </w:r>
      <w:r w:rsidR="00DC4376">
        <w:t>, for more current</w:t>
      </w:r>
      <w:r w:rsidR="00AA278D">
        <w:t xml:space="preserve"> </w:t>
      </w:r>
      <w:r w:rsidR="00DC4376">
        <w:t>transactions</w:t>
      </w:r>
      <w:r w:rsidR="00AA278D">
        <w:t xml:space="preserve">.  The </w:t>
      </w:r>
      <w:r w:rsidR="00A64456">
        <w:t>remaining</w:t>
      </w:r>
      <w:r w:rsidR="00AA278D">
        <w:t xml:space="preserve"> 97 transactions from the outstanding population </w:t>
      </w:r>
      <w:r w:rsidR="00EB10D0">
        <w:t xml:space="preserve">were understood </w:t>
      </w:r>
      <w:r w:rsidR="00E11F10">
        <w:t>to be related to health and dental claims</w:t>
      </w:r>
      <w:r w:rsidR="00EB10D0">
        <w:t xml:space="preserve"> and the corresponding support documentation</w:t>
      </w:r>
      <w:r w:rsidR="00E11F10">
        <w:t xml:space="preserve"> was</w:t>
      </w:r>
      <w:r w:rsidR="00EB10D0">
        <w:t xml:space="preserve"> maintained by</w:t>
      </w:r>
      <w:r w:rsidR="00AA278D">
        <w:t xml:space="preserve"> the Benefits Depart</w:t>
      </w:r>
      <w:r w:rsidR="00EB10D0">
        <w:t>ment.</w:t>
      </w:r>
    </w:p>
    <w:p w:rsidR="007D67D6" w:rsidRDefault="00EB10D0" w:rsidP="00CF030D">
      <w:pPr>
        <w:pStyle w:val="Double"/>
      </w:pPr>
      <w:r>
        <w:t>Despite initial challenges to locate the outstanding files due to moved or displaced documents</w:t>
      </w:r>
      <w:r w:rsidR="00660038">
        <w:t xml:space="preserve">, the </w:t>
      </w:r>
      <w:r w:rsidR="00DC4376">
        <w:t>support</w:t>
      </w:r>
      <w:r w:rsidR="00E11F10">
        <w:t xml:space="preserve"> for </w:t>
      </w:r>
      <w:r w:rsidR="00E17DA8">
        <w:t>68</w:t>
      </w:r>
      <w:r w:rsidR="00CF030D">
        <w:t xml:space="preserve"> </w:t>
      </w:r>
      <w:r w:rsidR="00E11F10">
        <w:t xml:space="preserve">of the 165 </w:t>
      </w:r>
      <w:r w:rsidR="00CF030D">
        <w:t>outstanding</w:t>
      </w:r>
      <w:r w:rsidR="00660038">
        <w:t xml:space="preserve"> transactions </w:t>
      </w:r>
      <w:r w:rsidR="00CF030D">
        <w:t xml:space="preserve">was </w:t>
      </w:r>
      <w:r>
        <w:t xml:space="preserve">eventually </w:t>
      </w:r>
      <w:r w:rsidR="00E17DA8">
        <w:t>located</w:t>
      </w:r>
      <w:r w:rsidR="00E11F10">
        <w:t>, electronically scanned</w:t>
      </w:r>
      <w:r w:rsidR="00CF030D">
        <w:t>,</w:t>
      </w:r>
      <w:r w:rsidR="00E11F10">
        <w:t xml:space="preserve"> and</w:t>
      </w:r>
      <w:r w:rsidR="00660038">
        <w:t xml:space="preserve"> transferred through a secured online document sharing system </w:t>
      </w:r>
      <w:r w:rsidR="00326037">
        <w:t xml:space="preserve">that </w:t>
      </w:r>
      <w:r w:rsidR="00660038">
        <w:t>Baker Tilly uses</w:t>
      </w:r>
      <w:r w:rsidR="00CF030D">
        <w:t>, and were tested in the forensic review</w:t>
      </w:r>
      <w:r w:rsidR="00585D5A">
        <w:t>.</w:t>
      </w:r>
      <w:r w:rsidR="006703E8">
        <w:t xml:space="preserve"> </w:t>
      </w:r>
      <w:r w:rsidR="00CF030D">
        <w:t xml:space="preserve"> The support for the other 97 transactions relate to claims or GRS</w:t>
      </w:r>
      <w:r w:rsidR="00E45ABB" w:rsidRPr="00E45ABB">
        <w:rPr>
          <w:rStyle w:val="FootnoteReference"/>
        </w:rPr>
        <w:t xml:space="preserve"> </w:t>
      </w:r>
      <w:r w:rsidR="00E45ABB">
        <w:rPr>
          <w:rStyle w:val="FootnoteReference"/>
        </w:rPr>
        <w:footnoteReference w:id="17"/>
      </w:r>
      <w:r w:rsidR="00CF030D">
        <w:t xml:space="preserve">.  </w:t>
      </w:r>
      <w:r w:rsidR="006703E8">
        <w:t>It is our understanding t</w:t>
      </w:r>
      <w:r w:rsidR="00CF030D">
        <w:t>he support for</w:t>
      </w:r>
      <w:r w:rsidR="00E11F10">
        <w:t xml:space="preserve"> these types of transactions is</w:t>
      </w:r>
      <w:r w:rsidR="00CF030D">
        <w:t xml:space="preserve"> controlled by the Benefits Department rather than the Finance Department due to the support being confidential and private. </w:t>
      </w:r>
      <w:r w:rsidR="0037189C">
        <w:t xml:space="preserve"> </w:t>
      </w:r>
      <w:r w:rsidR="00CF030D">
        <w:t>The support for these transacti</w:t>
      </w:r>
      <w:r w:rsidR="00E11F10">
        <w:t xml:space="preserve">ons were not </w:t>
      </w:r>
      <w:r w:rsidR="00511CFA">
        <w:t>provided or</w:t>
      </w:r>
      <w:r w:rsidR="00CF030D">
        <w:t xml:space="preserve"> tested by Baker </w:t>
      </w:r>
      <w:r w:rsidR="00CF030D">
        <w:lastRenderedPageBreak/>
        <w:t>Tilly.</w:t>
      </w:r>
      <w:r w:rsidR="00E11F10">
        <w:t xml:space="preserve">  In total, Baker Tilly was provided support fo</w:t>
      </w:r>
      <w:r w:rsidR="00E52F90">
        <w:t xml:space="preserve">r, and tested, 305 </w:t>
      </w:r>
      <w:r w:rsidR="00E11F10">
        <w:t>out of the 402</w:t>
      </w:r>
      <w:r w:rsidR="00E52F90">
        <w:t xml:space="preserve"> transactions</w:t>
      </w:r>
      <w:r w:rsidR="00E11F10">
        <w:t xml:space="preserve"> in our testing popu</w:t>
      </w:r>
      <w:r w:rsidR="00E52F90">
        <w:t>lation, or 76% of the transactions.</w:t>
      </w:r>
      <w:r w:rsidR="00E11F10">
        <w:t xml:space="preserve">  </w:t>
      </w:r>
    </w:p>
    <w:p w:rsidR="00492003" w:rsidRPr="000A7924" w:rsidRDefault="00492003" w:rsidP="00CF030D">
      <w:pPr>
        <w:pStyle w:val="Double"/>
      </w:pPr>
      <w:r>
        <w:t>Discussions were held</w:t>
      </w:r>
      <w:r w:rsidR="0052749F">
        <w:t xml:space="preserve"> while on</w:t>
      </w:r>
      <w:r>
        <w:t>site collecting supporting documentation for the selected sample population</w:t>
      </w:r>
      <w:r w:rsidR="00E104A8">
        <w:t xml:space="preserve">.  </w:t>
      </w:r>
      <w:r>
        <w:t>Through these general discussions with HCPSS employees, more information about the processes and procedures were learned and discussed.</w:t>
      </w:r>
    </w:p>
    <w:p w:rsidR="00D65E74" w:rsidRDefault="00AA65E4" w:rsidP="006B7DFF">
      <w:pPr>
        <w:pStyle w:val="Heading1"/>
        <w:numPr>
          <w:ilvl w:val="0"/>
          <w:numId w:val="1"/>
        </w:numPr>
      </w:pPr>
      <w:bookmarkStart w:id="29" w:name="_Toc3477550"/>
      <w:r>
        <w:lastRenderedPageBreak/>
        <w:t>Observations and Findings</w:t>
      </w:r>
      <w:bookmarkEnd w:id="29"/>
    </w:p>
    <w:p w:rsidR="00BA3669" w:rsidRDefault="00BA3669" w:rsidP="00BA3669">
      <w:pPr>
        <w:pStyle w:val="Heading2"/>
      </w:pPr>
      <w:bookmarkStart w:id="30" w:name="_Toc3477551"/>
      <w:bookmarkStart w:id="31" w:name="_Toc372134168"/>
      <w:r w:rsidRPr="002319E4">
        <w:t>Interviews</w:t>
      </w:r>
      <w:bookmarkEnd w:id="30"/>
    </w:p>
    <w:p w:rsidR="00492003" w:rsidRDefault="00545E76" w:rsidP="00492003">
      <w:pPr>
        <w:pStyle w:val="Double"/>
      </w:pPr>
      <w:r>
        <w:t>Baker</w:t>
      </w:r>
      <w:r w:rsidR="00492003">
        <w:t xml:space="preserve"> </w:t>
      </w:r>
      <w:r>
        <w:t>Tilly</w:t>
      </w:r>
      <w:r w:rsidR="00492003">
        <w:t xml:space="preserve"> noted the following observations and findings related to the interview portion of the </w:t>
      </w:r>
      <w:r w:rsidR="004E55D5">
        <w:t>forensic review</w:t>
      </w:r>
      <w:r w:rsidR="00492003" w:rsidRPr="008E4CE5">
        <w:t>:</w:t>
      </w:r>
    </w:p>
    <w:p w:rsidR="00492003" w:rsidRDefault="00492003" w:rsidP="00492003">
      <w:pPr>
        <w:pStyle w:val="NumberedParagraph"/>
        <w:numPr>
          <w:ilvl w:val="0"/>
          <w:numId w:val="12"/>
        </w:numPr>
        <w:ind w:left="720"/>
      </w:pPr>
      <w:r>
        <w:t xml:space="preserve">There was a lack of internal controls </w:t>
      </w:r>
      <w:r w:rsidR="00E52F90">
        <w:t xml:space="preserve">over transaction approval, which could allow </w:t>
      </w:r>
      <w:r w:rsidR="00924759">
        <w:t xml:space="preserve">for </w:t>
      </w:r>
      <w:r w:rsidR="0052749F">
        <w:t xml:space="preserve">potential </w:t>
      </w:r>
      <w:r>
        <w:t xml:space="preserve">waste and abuse of the </w:t>
      </w:r>
      <w:r w:rsidR="0052749F">
        <w:t>f</w:t>
      </w:r>
      <w:r w:rsidR="00545E76">
        <w:t>unds</w:t>
      </w:r>
      <w:r w:rsidR="00E52F90">
        <w:t>.</w:t>
      </w:r>
    </w:p>
    <w:p w:rsidR="00492003" w:rsidRDefault="00AE6009" w:rsidP="00492003">
      <w:pPr>
        <w:pStyle w:val="NumberedParagraph"/>
        <w:numPr>
          <w:ilvl w:val="0"/>
          <w:numId w:val="12"/>
        </w:numPr>
        <w:ind w:left="720"/>
      </w:pPr>
      <w:r>
        <w:t>Transactions</w:t>
      </w:r>
      <w:r w:rsidR="00492003">
        <w:t xml:space="preserve"> needed approval by grant managers</w:t>
      </w:r>
      <w:r w:rsidR="0052749F">
        <w:t>;</w:t>
      </w:r>
      <w:r w:rsidR="00492003">
        <w:t xml:space="preserve"> however, overrides were possible in the old accounting system</w:t>
      </w:r>
      <w:r w:rsidR="00CF2440">
        <w:t>, Integrated Financial Accounting System (</w:t>
      </w:r>
      <w:r w:rsidR="00492003">
        <w:t>“IFAS”</w:t>
      </w:r>
      <w:r w:rsidR="00CF2440">
        <w:t>)</w:t>
      </w:r>
      <w:r w:rsidR="00492003">
        <w:t xml:space="preserve"> and these were visible as journal entries</w:t>
      </w:r>
      <w:r w:rsidR="0003346A">
        <w:t>,</w:t>
      </w:r>
      <w:r w:rsidR="00291096">
        <w:t xml:space="preserve"> </w:t>
      </w:r>
      <w:r w:rsidR="004F56E2">
        <w:t>which was</w:t>
      </w:r>
      <w:r w:rsidR="00291096">
        <w:t xml:space="preserve"> used to bypass warning</w:t>
      </w:r>
      <w:r w:rsidR="004F56E2">
        <w:t>s that approving a certain transaction would put</w:t>
      </w:r>
      <w:r w:rsidR="00291096">
        <w:t xml:space="preserve"> the </w:t>
      </w:r>
      <w:r w:rsidR="004F56E2">
        <w:t>account over budget.</w:t>
      </w:r>
    </w:p>
    <w:p w:rsidR="001E7B0C" w:rsidRPr="000C4B88" w:rsidRDefault="00492003" w:rsidP="007D67D6">
      <w:pPr>
        <w:pStyle w:val="NumberedParagraph"/>
        <w:numPr>
          <w:ilvl w:val="0"/>
          <w:numId w:val="12"/>
        </w:numPr>
        <w:ind w:left="720"/>
      </w:pPr>
      <w:r>
        <w:t xml:space="preserve">Employees </w:t>
      </w:r>
      <w:r w:rsidR="00754EE4">
        <w:t>have an inconsistent understanding and method for record</w:t>
      </w:r>
      <w:r>
        <w:t xml:space="preserve"> </w:t>
      </w:r>
      <w:r w:rsidR="00754EE4">
        <w:t>keeping</w:t>
      </w:r>
      <w:r w:rsidR="0003346A">
        <w:t xml:space="preserve">.  This </w:t>
      </w:r>
      <w:r>
        <w:t xml:space="preserve">coupled with </w:t>
      </w:r>
      <w:r w:rsidR="00754EE4">
        <w:t>frequent turnover and an understaffed department</w:t>
      </w:r>
      <w:r w:rsidR="00E52F90">
        <w:t xml:space="preserve"> </w:t>
      </w:r>
      <w:r>
        <w:t>creates a lack of consistency.</w:t>
      </w:r>
    </w:p>
    <w:p w:rsidR="00BA3669" w:rsidRDefault="00BA3669" w:rsidP="002A23DA">
      <w:pPr>
        <w:pStyle w:val="Heading2"/>
      </w:pPr>
      <w:bookmarkStart w:id="32" w:name="_Toc3477552"/>
      <w:r>
        <w:t>Document Review And Analysis</w:t>
      </w:r>
      <w:bookmarkEnd w:id="32"/>
    </w:p>
    <w:p w:rsidR="000360AE" w:rsidRPr="00F95BBD" w:rsidRDefault="00545E76" w:rsidP="000360AE">
      <w:pPr>
        <w:pStyle w:val="Double"/>
      </w:pPr>
      <w:r>
        <w:t>Baker</w:t>
      </w:r>
      <w:r w:rsidR="000360AE">
        <w:t xml:space="preserve"> </w:t>
      </w:r>
      <w:r>
        <w:t>Tilly</w:t>
      </w:r>
      <w:r w:rsidR="000360AE">
        <w:t xml:space="preserve"> noted the following observations and findings related to the documents received and reviewed during the </w:t>
      </w:r>
      <w:r w:rsidR="004E55D5">
        <w:t>forensic review</w:t>
      </w:r>
      <w:r w:rsidR="000360AE">
        <w:t>:</w:t>
      </w:r>
    </w:p>
    <w:p w:rsidR="000A7924" w:rsidRDefault="000A7924" w:rsidP="000A7924">
      <w:pPr>
        <w:pStyle w:val="Heading3"/>
      </w:pPr>
      <w:bookmarkStart w:id="33" w:name="_Toc3477553"/>
      <w:r>
        <w:t>Preliminary Review and Analyses</w:t>
      </w:r>
      <w:bookmarkEnd w:id="33"/>
    </w:p>
    <w:p w:rsidR="000A7924" w:rsidRDefault="000A7924" w:rsidP="000A7924">
      <w:pPr>
        <w:pStyle w:val="Heading4"/>
        <w:numPr>
          <w:ilvl w:val="3"/>
          <w:numId w:val="1"/>
        </w:numPr>
      </w:pPr>
      <w:r>
        <w:t>Analysis of the Financial Statements</w:t>
      </w:r>
    </w:p>
    <w:p w:rsidR="00E04273" w:rsidRPr="00E04273" w:rsidRDefault="00545E76" w:rsidP="00CF5E5E">
      <w:pPr>
        <w:pStyle w:val="Double"/>
      </w:pPr>
      <w:r>
        <w:t>Baker</w:t>
      </w:r>
      <w:r w:rsidR="00E04273">
        <w:t xml:space="preserve"> </w:t>
      </w:r>
      <w:r>
        <w:t>Tilly</w:t>
      </w:r>
      <w:r w:rsidR="00E04273">
        <w:t xml:space="preserve"> conducted</w:t>
      </w:r>
      <w:r w:rsidR="00C84A04">
        <w:t xml:space="preserve"> an analysis of the financial </w:t>
      </w:r>
      <w:r w:rsidR="00E104A8">
        <w:t>statements, which</w:t>
      </w:r>
      <w:r w:rsidR="00E04273">
        <w:t xml:space="preserve"> provided an overview of the financial position of HCPSS during the Relevant Period.</w:t>
      </w:r>
      <w:r w:rsidR="00E45F62">
        <w:t xml:space="preserve">  </w:t>
      </w:r>
      <w:r>
        <w:t>Baker</w:t>
      </w:r>
      <w:r w:rsidR="00CF5E5E">
        <w:t xml:space="preserve"> </w:t>
      </w:r>
      <w:r>
        <w:t>Tilly</w:t>
      </w:r>
      <w:r w:rsidR="00CF5E5E">
        <w:t xml:space="preserve"> reviewed each </w:t>
      </w:r>
      <w:r w:rsidR="00E45F62">
        <w:t>FY</w:t>
      </w:r>
      <w:r w:rsidR="00CF5E5E">
        <w:t xml:space="preserve"> balance sheet and profit and loss statements</w:t>
      </w:r>
      <w:r w:rsidR="00E45F62">
        <w:t xml:space="preserve"> for the Relevant Period </w:t>
      </w:r>
      <w:r w:rsidR="00CF5E5E">
        <w:t>for HCPSS.  Additionally, analyses</w:t>
      </w:r>
      <w:r w:rsidR="00754EE4">
        <w:t xml:space="preserve"> performed varied per statement;</w:t>
      </w:r>
      <w:r w:rsidR="00CF5E5E">
        <w:t xml:space="preserve"> however, </w:t>
      </w:r>
      <w:r w:rsidR="00E45F62">
        <w:t xml:space="preserve">the percentage change year over year </w:t>
      </w:r>
      <w:r w:rsidR="00CF5E5E">
        <w:t xml:space="preserve">helped </w:t>
      </w:r>
      <w:r>
        <w:t>Baker</w:t>
      </w:r>
      <w:r w:rsidR="00CF5E5E">
        <w:t xml:space="preserve"> </w:t>
      </w:r>
      <w:r>
        <w:t>Tilly</w:t>
      </w:r>
      <w:r w:rsidR="00CF5E5E">
        <w:t xml:space="preserve"> analyze HCPSS’s financial position in regards to the Health and Dental and Grant </w:t>
      </w:r>
      <w:r>
        <w:t>Fund</w:t>
      </w:r>
      <w:r w:rsidR="00CF5E5E">
        <w:t>.</w:t>
      </w:r>
      <w:r w:rsidR="00DB36AC">
        <w:t xml:space="preserve">  The Health and Dental Fund’s financial position decreased from a net position of </w:t>
      </w:r>
      <w:r w:rsidR="00B435DF">
        <w:t>$</w:t>
      </w:r>
      <w:r w:rsidR="00DB36AC">
        <w:t>12.5 million in end of year FY 2013 to</w:t>
      </w:r>
      <w:r w:rsidR="00B435DF">
        <w:t xml:space="preserve"> a deficit of</w:t>
      </w:r>
      <w:r w:rsidR="00DB36AC">
        <w:t xml:space="preserve"> (</w:t>
      </w:r>
      <w:r w:rsidR="00B435DF">
        <w:t>$</w:t>
      </w:r>
      <w:r w:rsidR="00DB36AC">
        <w:t>22.2) million in FY 2017.  This appears largely in part due to the Current Assets – Investments decreasing and Ac</w:t>
      </w:r>
      <w:r w:rsidR="00492C66">
        <w:t xml:space="preserve">counts Payable increasing.  </w:t>
      </w:r>
      <w:r w:rsidR="00DB36AC">
        <w:t xml:space="preserve">The </w:t>
      </w:r>
      <w:r w:rsidR="00DB36AC">
        <w:lastRenderedPageBreak/>
        <w:t xml:space="preserve">Grant Fund over FY 2013 through FY 2017 carried a </w:t>
      </w:r>
      <w:r w:rsidR="00B47B82">
        <w:t>zero-dollar</w:t>
      </w:r>
      <w:r w:rsidR="00DB36AC">
        <w:t xml:space="preserve"> fund balance at the end of each year.</w:t>
      </w:r>
    </w:p>
    <w:p w:rsidR="000A7924" w:rsidRDefault="00DC59DD" w:rsidP="000A7924">
      <w:pPr>
        <w:pStyle w:val="Heading4"/>
        <w:numPr>
          <w:ilvl w:val="3"/>
          <w:numId w:val="1"/>
        </w:numPr>
      </w:pPr>
      <w:r>
        <w:t>Summary of Grant Activity</w:t>
      </w:r>
    </w:p>
    <w:p w:rsidR="00E04273" w:rsidRDefault="0099797E" w:rsidP="00E04273">
      <w:pPr>
        <w:pStyle w:val="Double"/>
      </w:pPr>
      <w:r>
        <w:t>A</w:t>
      </w:r>
      <w:r w:rsidR="00E52F90">
        <w:t xml:space="preserve"> </w:t>
      </w:r>
      <w:r w:rsidR="00E04273">
        <w:t xml:space="preserve">review </w:t>
      </w:r>
      <w:r>
        <w:t xml:space="preserve">of </w:t>
      </w:r>
      <w:r w:rsidR="00E04273">
        <w:t xml:space="preserve">the total population of grants during the Relevant Period, </w:t>
      </w:r>
      <w:r w:rsidR="00ED2EB2">
        <w:t xml:space="preserve">revealed </w:t>
      </w:r>
      <w:r w:rsidR="00E04273">
        <w:t>an increase in grants received</w:t>
      </w:r>
      <w:r w:rsidR="00E104A8">
        <w:t xml:space="preserve">.  </w:t>
      </w:r>
      <w:r w:rsidR="00E04273">
        <w:t xml:space="preserve">HCPSS </w:t>
      </w:r>
      <w:r w:rsidR="00E04273" w:rsidRPr="00E04273">
        <w:t>received 41 total grants</w:t>
      </w:r>
      <w:r w:rsidR="00E04273">
        <w:t xml:space="preserve"> in</w:t>
      </w:r>
      <w:r w:rsidR="006D5287">
        <w:t xml:space="preserve"> </w:t>
      </w:r>
      <w:r w:rsidR="00E04273">
        <w:t>FY 2013</w:t>
      </w:r>
      <w:r w:rsidR="00E04273" w:rsidRPr="00E04273">
        <w:t xml:space="preserve">, </w:t>
      </w:r>
      <w:r w:rsidR="00E104A8">
        <w:t xml:space="preserve">grants </w:t>
      </w:r>
      <w:r w:rsidR="00E04273" w:rsidRPr="00E04273">
        <w:t xml:space="preserve">increased in FY14 to 44 </w:t>
      </w:r>
      <w:r w:rsidR="00FD70BA">
        <w:t xml:space="preserve">and remained at that amount </w:t>
      </w:r>
      <w:r w:rsidR="00E04273">
        <w:t>through FY 2015</w:t>
      </w:r>
      <w:r w:rsidR="00FD70BA">
        <w:t>, but during FY 2016</w:t>
      </w:r>
      <w:r w:rsidR="00E04273">
        <w:t xml:space="preserve"> there was an</w:t>
      </w:r>
      <w:r w:rsidR="00FD70BA">
        <w:t>other</w:t>
      </w:r>
      <w:r w:rsidR="00E04273">
        <w:t xml:space="preserve"> increase to 54 grants</w:t>
      </w:r>
      <w:r w:rsidR="00E104A8">
        <w:t xml:space="preserve">.  </w:t>
      </w:r>
      <w:r w:rsidR="00FD70BA">
        <w:t xml:space="preserve">During </w:t>
      </w:r>
      <w:r w:rsidR="00FD70BA" w:rsidRPr="00E04273">
        <w:t>FY</w:t>
      </w:r>
      <w:r w:rsidR="00E04273">
        <w:t xml:space="preserve"> 2017, a decline to 51 grants was </w:t>
      </w:r>
      <w:r w:rsidR="00ED2EB2">
        <w:t>noted</w:t>
      </w:r>
      <w:r w:rsidR="00E04273">
        <w:t xml:space="preserve">. </w:t>
      </w:r>
      <w:r w:rsidR="006D5287">
        <w:t xml:space="preserve"> This procedure </w:t>
      </w:r>
      <w:r w:rsidR="00ED2EB2">
        <w:t xml:space="preserve">allowed </w:t>
      </w:r>
      <w:r w:rsidR="00545E76">
        <w:t>Baker</w:t>
      </w:r>
      <w:r w:rsidR="006D5287">
        <w:t xml:space="preserve"> </w:t>
      </w:r>
      <w:r w:rsidR="00545E76">
        <w:t>Tilly</w:t>
      </w:r>
      <w:r w:rsidR="006D5287">
        <w:t xml:space="preserve"> to gain knowledge on which grants were active during the Relevant Period and who the program manager was during each FY.</w:t>
      </w:r>
    </w:p>
    <w:p w:rsidR="0050134B" w:rsidRDefault="0050134B" w:rsidP="00272F40">
      <w:pPr>
        <w:pStyle w:val="TableHeader"/>
      </w:pPr>
      <w:r>
        <w:t>Summary of Grant Activity during FY 2013 through FY 2017</w:t>
      </w:r>
    </w:p>
    <w:tbl>
      <w:tblPr>
        <w:tblStyle w:val="TableGrid"/>
        <w:tblW w:w="0" w:type="auto"/>
        <w:tblLook w:val="04A0" w:firstRow="1" w:lastRow="0" w:firstColumn="1" w:lastColumn="0" w:noHBand="0" w:noVBand="1"/>
      </w:tblPr>
      <w:tblGrid>
        <w:gridCol w:w="1063"/>
        <w:gridCol w:w="1376"/>
        <w:gridCol w:w="2742"/>
      </w:tblGrid>
      <w:tr w:rsidR="0050134B" w:rsidTr="00CF2440">
        <w:trPr>
          <w:trHeight w:val="359"/>
        </w:trPr>
        <w:tc>
          <w:tcPr>
            <w:tcW w:w="0" w:type="auto"/>
            <w:shd w:val="clear" w:color="auto" w:fill="E7E6E6"/>
            <w:vAlign w:val="bottom"/>
          </w:tcPr>
          <w:p w:rsidR="0050134B" w:rsidRDefault="0050134B" w:rsidP="00CF2440">
            <w:pPr>
              <w:pStyle w:val="Double"/>
              <w:spacing w:line="276" w:lineRule="auto"/>
              <w:ind w:firstLine="0"/>
              <w:jc w:val="center"/>
            </w:pPr>
          </w:p>
        </w:tc>
        <w:tc>
          <w:tcPr>
            <w:tcW w:w="0" w:type="auto"/>
            <w:shd w:val="clear" w:color="auto" w:fill="E7E6E6"/>
            <w:vAlign w:val="bottom"/>
          </w:tcPr>
          <w:p w:rsidR="0050134B" w:rsidRPr="00272F40" w:rsidRDefault="00272F40" w:rsidP="00CF2440">
            <w:pPr>
              <w:pStyle w:val="Double"/>
              <w:spacing w:line="276" w:lineRule="auto"/>
              <w:ind w:firstLine="0"/>
              <w:jc w:val="center"/>
              <w:rPr>
                <w:b/>
              </w:rPr>
            </w:pPr>
            <w:r>
              <w:rPr>
                <w:b/>
              </w:rPr>
              <w:t xml:space="preserve"># of </w:t>
            </w:r>
            <w:r w:rsidR="0050134B" w:rsidRPr="00272F40">
              <w:rPr>
                <w:b/>
              </w:rPr>
              <w:t>Grants</w:t>
            </w:r>
          </w:p>
        </w:tc>
        <w:tc>
          <w:tcPr>
            <w:tcW w:w="0" w:type="auto"/>
            <w:shd w:val="clear" w:color="auto" w:fill="E7E6E6"/>
            <w:vAlign w:val="bottom"/>
          </w:tcPr>
          <w:p w:rsidR="0050134B" w:rsidRPr="00272F40" w:rsidRDefault="00272F40" w:rsidP="00CF2440">
            <w:pPr>
              <w:pStyle w:val="Double"/>
              <w:spacing w:line="276" w:lineRule="auto"/>
              <w:ind w:firstLine="0"/>
              <w:jc w:val="center"/>
              <w:rPr>
                <w:b/>
              </w:rPr>
            </w:pPr>
            <w:r>
              <w:rPr>
                <w:b/>
              </w:rPr>
              <w:t>Percent Change over</w:t>
            </w:r>
            <w:r w:rsidR="0050134B" w:rsidRPr="00272F40">
              <w:rPr>
                <w:b/>
              </w:rPr>
              <w:t xml:space="preserve"> FY</w:t>
            </w:r>
          </w:p>
        </w:tc>
      </w:tr>
      <w:tr w:rsidR="0050134B" w:rsidTr="00CF2440">
        <w:tc>
          <w:tcPr>
            <w:tcW w:w="0" w:type="auto"/>
            <w:shd w:val="clear" w:color="auto" w:fill="E7E6E6"/>
            <w:vAlign w:val="bottom"/>
          </w:tcPr>
          <w:p w:rsidR="0050134B" w:rsidRDefault="0050134B" w:rsidP="00CF2440">
            <w:pPr>
              <w:pStyle w:val="Double"/>
              <w:spacing w:line="276" w:lineRule="auto"/>
              <w:ind w:firstLine="0"/>
              <w:jc w:val="center"/>
            </w:pPr>
            <w:r>
              <w:t>FY 2013</w:t>
            </w:r>
          </w:p>
        </w:tc>
        <w:tc>
          <w:tcPr>
            <w:tcW w:w="0" w:type="auto"/>
            <w:shd w:val="clear" w:color="auto" w:fill="E7E6E6"/>
            <w:vAlign w:val="bottom"/>
          </w:tcPr>
          <w:p w:rsidR="0050134B" w:rsidRDefault="0050134B" w:rsidP="00CF2440">
            <w:pPr>
              <w:pStyle w:val="Double"/>
              <w:spacing w:line="276" w:lineRule="auto"/>
              <w:ind w:firstLine="0"/>
              <w:jc w:val="center"/>
            </w:pPr>
            <w:r>
              <w:t>41</w:t>
            </w:r>
          </w:p>
        </w:tc>
        <w:tc>
          <w:tcPr>
            <w:tcW w:w="0" w:type="auto"/>
            <w:shd w:val="clear" w:color="auto" w:fill="E7E6E6"/>
            <w:vAlign w:val="bottom"/>
          </w:tcPr>
          <w:p w:rsidR="0050134B" w:rsidRDefault="0050134B" w:rsidP="00CF2440">
            <w:pPr>
              <w:pStyle w:val="Double"/>
              <w:spacing w:line="276" w:lineRule="auto"/>
              <w:ind w:firstLine="0"/>
              <w:jc w:val="center"/>
            </w:pPr>
            <w:r>
              <w:t>N/A</w:t>
            </w:r>
          </w:p>
        </w:tc>
      </w:tr>
      <w:tr w:rsidR="0050134B" w:rsidTr="00CF2440">
        <w:tc>
          <w:tcPr>
            <w:tcW w:w="0" w:type="auto"/>
            <w:shd w:val="clear" w:color="auto" w:fill="E7E6E6"/>
            <w:vAlign w:val="bottom"/>
          </w:tcPr>
          <w:p w:rsidR="0050134B" w:rsidRDefault="0050134B" w:rsidP="00CF2440">
            <w:pPr>
              <w:pStyle w:val="Double"/>
              <w:spacing w:line="276" w:lineRule="auto"/>
              <w:ind w:firstLine="0"/>
              <w:jc w:val="center"/>
            </w:pPr>
            <w:r>
              <w:t>FY 2014</w:t>
            </w:r>
          </w:p>
        </w:tc>
        <w:tc>
          <w:tcPr>
            <w:tcW w:w="0" w:type="auto"/>
            <w:shd w:val="clear" w:color="auto" w:fill="E7E6E6"/>
            <w:vAlign w:val="bottom"/>
          </w:tcPr>
          <w:p w:rsidR="0050134B" w:rsidRDefault="0050134B" w:rsidP="00CF2440">
            <w:pPr>
              <w:pStyle w:val="Double"/>
              <w:spacing w:line="276" w:lineRule="auto"/>
              <w:ind w:firstLine="0"/>
              <w:jc w:val="center"/>
            </w:pPr>
            <w:r>
              <w:t>44</w:t>
            </w:r>
          </w:p>
        </w:tc>
        <w:tc>
          <w:tcPr>
            <w:tcW w:w="0" w:type="auto"/>
            <w:shd w:val="clear" w:color="auto" w:fill="E7E6E6"/>
            <w:vAlign w:val="bottom"/>
          </w:tcPr>
          <w:p w:rsidR="0050134B" w:rsidRDefault="0050134B" w:rsidP="00CF2440">
            <w:pPr>
              <w:pStyle w:val="Double"/>
              <w:spacing w:line="276" w:lineRule="auto"/>
              <w:ind w:firstLine="0"/>
              <w:jc w:val="center"/>
            </w:pPr>
            <w:r>
              <w:t>7%</w:t>
            </w:r>
          </w:p>
        </w:tc>
      </w:tr>
      <w:tr w:rsidR="0050134B" w:rsidTr="00CF2440">
        <w:tc>
          <w:tcPr>
            <w:tcW w:w="0" w:type="auto"/>
            <w:shd w:val="clear" w:color="auto" w:fill="E7E6E6"/>
            <w:vAlign w:val="bottom"/>
          </w:tcPr>
          <w:p w:rsidR="0050134B" w:rsidRDefault="0050134B" w:rsidP="00CF2440">
            <w:pPr>
              <w:pStyle w:val="Double"/>
              <w:spacing w:line="276" w:lineRule="auto"/>
              <w:ind w:firstLine="0"/>
              <w:jc w:val="center"/>
            </w:pPr>
            <w:r>
              <w:t>FY 2015</w:t>
            </w:r>
          </w:p>
        </w:tc>
        <w:tc>
          <w:tcPr>
            <w:tcW w:w="0" w:type="auto"/>
            <w:shd w:val="clear" w:color="auto" w:fill="E7E6E6"/>
            <w:vAlign w:val="bottom"/>
          </w:tcPr>
          <w:p w:rsidR="0050134B" w:rsidRDefault="0050134B" w:rsidP="00CF2440">
            <w:pPr>
              <w:pStyle w:val="Double"/>
              <w:spacing w:line="276" w:lineRule="auto"/>
              <w:ind w:firstLine="0"/>
              <w:jc w:val="center"/>
            </w:pPr>
            <w:r>
              <w:t>44</w:t>
            </w:r>
          </w:p>
        </w:tc>
        <w:tc>
          <w:tcPr>
            <w:tcW w:w="0" w:type="auto"/>
            <w:shd w:val="clear" w:color="auto" w:fill="E7E6E6"/>
            <w:vAlign w:val="bottom"/>
          </w:tcPr>
          <w:p w:rsidR="0050134B" w:rsidRDefault="0050134B" w:rsidP="00CF2440">
            <w:pPr>
              <w:pStyle w:val="Double"/>
              <w:spacing w:line="276" w:lineRule="auto"/>
              <w:ind w:firstLine="0"/>
              <w:jc w:val="center"/>
            </w:pPr>
            <w:r>
              <w:t>0%</w:t>
            </w:r>
          </w:p>
        </w:tc>
      </w:tr>
      <w:tr w:rsidR="0050134B" w:rsidTr="00CF2440">
        <w:tc>
          <w:tcPr>
            <w:tcW w:w="0" w:type="auto"/>
            <w:shd w:val="clear" w:color="auto" w:fill="E7E6E6"/>
            <w:vAlign w:val="bottom"/>
          </w:tcPr>
          <w:p w:rsidR="0050134B" w:rsidRDefault="0050134B" w:rsidP="00CF2440">
            <w:pPr>
              <w:pStyle w:val="Double"/>
              <w:spacing w:line="276" w:lineRule="auto"/>
              <w:ind w:firstLine="0"/>
              <w:jc w:val="center"/>
            </w:pPr>
            <w:r>
              <w:t>FY 2016</w:t>
            </w:r>
          </w:p>
        </w:tc>
        <w:tc>
          <w:tcPr>
            <w:tcW w:w="0" w:type="auto"/>
            <w:shd w:val="clear" w:color="auto" w:fill="E7E6E6"/>
            <w:vAlign w:val="bottom"/>
          </w:tcPr>
          <w:p w:rsidR="0050134B" w:rsidRDefault="0050134B" w:rsidP="00CF2440">
            <w:pPr>
              <w:pStyle w:val="Double"/>
              <w:spacing w:line="276" w:lineRule="auto"/>
              <w:ind w:firstLine="0"/>
              <w:jc w:val="center"/>
            </w:pPr>
            <w:r>
              <w:t>54</w:t>
            </w:r>
          </w:p>
        </w:tc>
        <w:tc>
          <w:tcPr>
            <w:tcW w:w="0" w:type="auto"/>
            <w:shd w:val="clear" w:color="auto" w:fill="E7E6E6"/>
            <w:vAlign w:val="bottom"/>
          </w:tcPr>
          <w:p w:rsidR="0050134B" w:rsidRDefault="0050134B" w:rsidP="00CF2440">
            <w:pPr>
              <w:pStyle w:val="Double"/>
              <w:spacing w:line="276" w:lineRule="auto"/>
              <w:ind w:firstLine="0"/>
              <w:jc w:val="center"/>
            </w:pPr>
            <w:r>
              <w:t>23%</w:t>
            </w:r>
          </w:p>
        </w:tc>
      </w:tr>
      <w:tr w:rsidR="0050134B" w:rsidTr="00CF2440">
        <w:trPr>
          <w:trHeight w:val="20"/>
        </w:trPr>
        <w:tc>
          <w:tcPr>
            <w:tcW w:w="0" w:type="auto"/>
            <w:shd w:val="clear" w:color="auto" w:fill="E7E6E6"/>
            <w:vAlign w:val="bottom"/>
          </w:tcPr>
          <w:p w:rsidR="0050134B" w:rsidRDefault="0050134B" w:rsidP="00CF2440">
            <w:pPr>
              <w:pStyle w:val="Double"/>
              <w:spacing w:line="276" w:lineRule="auto"/>
              <w:ind w:firstLine="0"/>
              <w:jc w:val="center"/>
            </w:pPr>
            <w:r>
              <w:t>FY 2017</w:t>
            </w:r>
          </w:p>
        </w:tc>
        <w:tc>
          <w:tcPr>
            <w:tcW w:w="0" w:type="auto"/>
            <w:shd w:val="clear" w:color="auto" w:fill="E7E6E6"/>
            <w:vAlign w:val="bottom"/>
          </w:tcPr>
          <w:p w:rsidR="0050134B" w:rsidRDefault="0050134B" w:rsidP="00CF2440">
            <w:pPr>
              <w:pStyle w:val="Double"/>
              <w:spacing w:line="276" w:lineRule="auto"/>
              <w:ind w:firstLine="0"/>
              <w:jc w:val="center"/>
            </w:pPr>
            <w:r>
              <w:t>51</w:t>
            </w:r>
          </w:p>
        </w:tc>
        <w:tc>
          <w:tcPr>
            <w:tcW w:w="0" w:type="auto"/>
            <w:shd w:val="clear" w:color="auto" w:fill="E7E6E6"/>
            <w:vAlign w:val="bottom"/>
          </w:tcPr>
          <w:p w:rsidR="0050134B" w:rsidRDefault="0050134B" w:rsidP="00CF2440">
            <w:pPr>
              <w:pStyle w:val="Double"/>
              <w:spacing w:line="276" w:lineRule="auto"/>
              <w:ind w:firstLine="0"/>
              <w:jc w:val="center"/>
            </w:pPr>
            <w:r>
              <w:t>-6%</w:t>
            </w:r>
          </w:p>
        </w:tc>
      </w:tr>
    </w:tbl>
    <w:p w:rsidR="0050134B" w:rsidRPr="00E04273" w:rsidRDefault="0050134B" w:rsidP="00E04273">
      <w:pPr>
        <w:pStyle w:val="Double"/>
      </w:pPr>
    </w:p>
    <w:p w:rsidR="000A7924" w:rsidRDefault="00DE37CC" w:rsidP="000A7924">
      <w:pPr>
        <w:pStyle w:val="Heading4"/>
        <w:numPr>
          <w:ilvl w:val="3"/>
          <w:numId w:val="1"/>
        </w:numPr>
      </w:pPr>
      <w:r>
        <w:t>Preliminary</w:t>
      </w:r>
      <w:r w:rsidR="000A7924">
        <w:t xml:space="preserve"> Sample Review</w:t>
      </w:r>
    </w:p>
    <w:p w:rsidR="00E04273" w:rsidRPr="00E04273" w:rsidRDefault="00545E76" w:rsidP="00DE37CC">
      <w:pPr>
        <w:pStyle w:val="Double"/>
      </w:pPr>
      <w:r>
        <w:t>Baker</w:t>
      </w:r>
      <w:r w:rsidR="00E04273">
        <w:t xml:space="preserve"> </w:t>
      </w:r>
      <w:r>
        <w:t>Tilly</w:t>
      </w:r>
      <w:r w:rsidR="00E04273">
        <w:t xml:space="preserve"> conducted a preliminary sample review based on data rece</w:t>
      </w:r>
      <w:r w:rsidR="005F5856">
        <w:t>ived from HCPSS</w:t>
      </w:r>
      <w:r w:rsidR="00FD70BA">
        <w:t xml:space="preserve">.  </w:t>
      </w:r>
      <w:r w:rsidR="005F5856">
        <w:t>Through analyz</w:t>
      </w:r>
      <w:r w:rsidR="00E04273">
        <w:t xml:space="preserve">ing the data, </w:t>
      </w:r>
      <w:r>
        <w:t>Baker</w:t>
      </w:r>
      <w:r w:rsidR="00E04273">
        <w:t xml:space="preserve"> </w:t>
      </w:r>
      <w:r>
        <w:t>Tilly</w:t>
      </w:r>
      <w:r w:rsidR="00E04273">
        <w:t xml:space="preserve"> selected approximately two random </w:t>
      </w:r>
      <w:r w:rsidR="00DE37CC">
        <w:t>batches per year based on a</w:t>
      </w:r>
      <w:r w:rsidR="00974597">
        <w:t xml:space="preserve"> random sample for</w:t>
      </w:r>
      <w:r w:rsidR="00E04273">
        <w:t xml:space="preserve"> Batch ID.</w:t>
      </w:r>
      <w:r w:rsidR="00DE37CC">
        <w:t xml:space="preserve"> </w:t>
      </w:r>
      <w:r w:rsidR="00E04273">
        <w:t xml:space="preserve"> </w:t>
      </w:r>
      <w:r w:rsidR="00DE37CC">
        <w:t xml:space="preserve">This process was done for both </w:t>
      </w:r>
      <w:r w:rsidR="00BF3B75">
        <w:t xml:space="preserve">the </w:t>
      </w:r>
      <w:r w:rsidR="00DF0BFE">
        <w:t>Health</w:t>
      </w:r>
      <w:r w:rsidR="00DE37CC">
        <w:t xml:space="preserve"> and Dental </w:t>
      </w:r>
      <w:r>
        <w:t>Fund</w:t>
      </w:r>
      <w:r w:rsidR="00DE37CC">
        <w:t xml:space="preserve"> and the Grant </w:t>
      </w:r>
      <w:r>
        <w:t>Fund</w:t>
      </w:r>
      <w:r w:rsidR="00DE37CC">
        <w:t xml:space="preserve">.  Preliminary sample review for the Health and Dental </w:t>
      </w:r>
      <w:r>
        <w:t>Fund</w:t>
      </w:r>
      <w:r w:rsidR="00DE37CC">
        <w:t xml:space="preserve"> consisted of </w:t>
      </w:r>
      <w:r w:rsidR="00FD70BA">
        <w:t>seven (</w:t>
      </w:r>
      <w:r w:rsidR="00DE37CC">
        <w:t>7</w:t>
      </w:r>
      <w:r w:rsidR="00FD70BA">
        <w:t>)</w:t>
      </w:r>
      <w:r w:rsidR="00DE37CC">
        <w:t xml:space="preserve"> batches</w:t>
      </w:r>
      <w:r w:rsidR="00FD70BA">
        <w:t>,</w:t>
      </w:r>
      <w:r w:rsidR="00DE37CC">
        <w:t xml:space="preserve"> which contained </w:t>
      </w:r>
      <w:r w:rsidR="00FD70BA">
        <w:t>27</w:t>
      </w:r>
      <w:r w:rsidR="00DE37CC">
        <w:t xml:space="preserve"> transactions</w:t>
      </w:r>
      <w:r w:rsidR="00FD70BA">
        <w:t xml:space="preserve"> total</w:t>
      </w:r>
      <w:r w:rsidR="00DE37CC">
        <w:t xml:space="preserve">.  The Grant </w:t>
      </w:r>
      <w:r>
        <w:t>Fund</w:t>
      </w:r>
      <w:r w:rsidR="00DE37CC">
        <w:t xml:space="preserve"> preliminary sample review consisted of </w:t>
      </w:r>
      <w:r w:rsidR="00FD70BA">
        <w:t>seven (</w:t>
      </w:r>
      <w:r w:rsidR="00DE37CC">
        <w:t>7</w:t>
      </w:r>
      <w:r w:rsidR="00FD70BA">
        <w:t>)</w:t>
      </w:r>
      <w:r w:rsidR="00DE37CC">
        <w:t xml:space="preserve"> batches</w:t>
      </w:r>
      <w:r w:rsidR="00FD70BA">
        <w:t xml:space="preserve">, which contained </w:t>
      </w:r>
      <w:r w:rsidR="00DE37CC">
        <w:t>84 transactions</w:t>
      </w:r>
      <w:r w:rsidR="00FD70BA">
        <w:t xml:space="preserve"> total</w:t>
      </w:r>
      <w:r w:rsidR="00DE37CC">
        <w:t xml:space="preserve">.  </w:t>
      </w:r>
      <w:r w:rsidR="00E04273">
        <w:t xml:space="preserve">After </w:t>
      </w:r>
      <w:r w:rsidR="001740AD">
        <w:t xml:space="preserve">the populations were </w:t>
      </w:r>
      <w:r w:rsidR="00E04273">
        <w:t>selected, the support documentation was</w:t>
      </w:r>
      <w:r w:rsidR="00C34554">
        <w:t xml:space="preserve"> requested,</w:t>
      </w:r>
      <w:r w:rsidR="00E04273">
        <w:t xml:space="preserve"> provided </w:t>
      </w:r>
      <w:r w:rsidR="00C34554">
        <w:t xml:space="preserve">by HCPSS, </w:t>
      </w:r>
      <w:r w:rsidR="00F36D0E">
        <w:t xml:space="preserve">and </w:t>
      </w:r>
      <w:r w:rsidR="00E04273">
        <w:t xml:space="preserve">was </w:t>
      </w:r>
      <w:r w:rsidR="00C34554">
        <w:t xml:space="preserve">then </w:t>
      </w:r>
      <w:r w:rsidR="00E04273">
        <w:t xml:space="preserve">reviewed </w:t>
      </w:r>
      <w:r w:rsidR="00C34554">
        <w:t xml:space="preserve">by </w:t>
      </w:r>
      <w:r>
        <w:t>Baker</w:t>
      </w:r>
      <w:r w:rsidR="00C34554">
        <w:t xml:space="preserve"> </w:t>
      </w:r>
      <w:r>
        <w:t>Tilly</w:t>
      </w:r>
      <w:r w:rsidR="00C34554">
        <w:t xml:space="preserve"> </w:t>
      </w:r>
      <w:r w:rsidR="00E04273">
        <w:t>and determined</w:t>
      </w:r>
      <w:r w:rsidR="00C34554">
        <w:t xml:space="preserve"> that it was sufficient for testing</w:t>
      </w:r>
      <w:r w:rsidR="00E04273">
        <w:t xml:space="preserve">.  </w:t>
      </w:r>
    </w:p>
    <w:p w:rsidR="000A7924" w:rsidRDefault="00B82B81" w:rsidP="000A7924">
      <w:pPr>
        <w:pStyle w:val="Heading4"/>
        <w:numPr>
          <w:ilvl w:val="3"/>
          <w:numId w:val="1"/>
        </w:numPr>
      </w:pPr>
      <w:r>
        <w:lastRenderedPageBreak/>
        <w:t>Review</w:t>
      </w:r>
      <w:r w:rsidR="000A7924">
        <w:t xml:space="preserve"> of Actuarial </w:t>
      </w:r>
      <w:r>
        <w:t>Reports</w:t>
      </w:r>
    </w:p>
    <w:p w:rsidR="00551AE5" w:rsidRPr="00551AE5" w:rsidRDefault="00545E76" w:rsidP="00CE06DA">
      <w:pPr>
        <w:pStyle w:val="Double"/>
      </w:pPr>
      <w:r>
        <w:t>Baker</w:t>
      </w:r>
      <w:r w:rsidR="00D02DE8">
        <w:t xml:space="preserve"> </w:t>
      </w:r>
      <w:r>
        <w:t>Tilly</w:t>
      </w:r>
      <w:r w:rsidR="00D02DE8">
        <w:t xml:space="preserve"> </w:t>
      </w:r>
      <w:r w:rsidR="007676AC">
        <w:t>reviewed</w:t>
      </w:r>
      <w:r w:rsidR="00D02DE8">
        <w:t xml:space="preserve"> </w:t>
      </w:r>
      <w:r w:rsidR="007676AC">
        <w:t>actuarial reports provided by HCPSS</w:t>
      </w:r>
      <w:r w:rsidR="004F56E2">
        <w:t xml:space="preserve"> for information on general assumptions and projections as it related to health and dental claim</w:t>
      </w:r>
      <w:r w:rsidR="00C361BE">
        <w:t>s for purposes of comparing to HCPSS’s budget for the Health and Dental Fund</w:t>
      </w:r>
      <w:r w:rsidR="00FD70BA">
        <w:t xml:space="preserve">.  </w:t>
      </w:r>
      <w:r w:rsidR="0008421F">
        <w:t xml:space="preserve">The general assumptions discussed benefit changes, </w:t>
      </w:r>
      <w:r w:rsidR="00BF3B75">
        <w:t xml:space="preserve">assumed </w:t>
      </w:r>
      <w:r w:rsidR="0008421F">
        <w:t>healthcare</w:t>
      </w:r>
      <w:r w:rsidR="00BF3B75">
        <w:t xml:space="preserve"> trends</w:t>
      </w:r>
      <w:r w:rsidR="0008421F">
        <w:t>, changes in fixed costs, rate changes among the benefit plan providers, summaries of HCPSS costs per FY and increases or decreases in</w:t>
      </w:r>
      <w:r w:rsidR="0099496D">
        <w:t xml:space="preserve"> Incurred But Not Reported</w:t>
      </w:r>
      <w:r w:rsidR="0008421F">
        <w:t xml:space="preserve"> </w:t>
      </w:r>
      <w:r w:rsidR="0099496D">
        <w:t>(“</w:t>
      </w:r>
      <w:r w:rsidR="0008421F" w:rsidRPr="0099496D">
        <w:rPr>
          <w:u w:val="single"/>
        </w:rPr>
        <w:t>IBNR</w:t>
      </w:r>
      <w:r w:rsidR="005E4549">
        <w:t>”</w:t>
      </w:r>
      <w:r w:rsidR="0099496D">
        <w:t xml:space="preserve">) </w:t>
      </w:r>
      <w:r w:rsidR="0008421F">
        <w:t>claim reserve or the large claim reserve categories</w:t>
      </w:r>
      <w:r w:rsidR="00FD70BA">
        <w:t xml:space="preserve">.  </w:t>
      </w:r>
      <w:r w:rsidR="0008421F">
        <w:t>Projections were also mentioned and identified the base period for that FY as well as determinations of adjustments being made</w:t>
      </w:r>
      <w:r w:rsidR="00FD70BA">
        <w:t xml:space="preserve">.  </w:t>
      </w:r>
      <w:r w:rsidR="0008421F">
        <w:t xml:space="preserve">This analysis provided </w:t>
      </w:r>
      <w:r>
        <w:t>Baker</w:t>
      </w:r>
      <w:r w:rsidR="0008421F">
        <w:t xml:space="preserve"> </w:t>
      </w:r>
      <w:r>
        <w:t>Tilly</w:t>
      </w:r>
      <w:r w:rsidR="0008421F">
        <w:t xml:space="preserve"> with a better understanding of the trends and changes that were being reported for HCPSS.</w:t>
      </w:r>
      <w:r w:rsidR="00492C66">
        <w:t xml:space="preserve">  Overall, the total costs </w:t>
      </w:r>
      <w:r w:rsidR="00BB2855">
        <w:t>for</w:t>
      </w:r>
      <w:r w:rsidR="00492C66">
        <w:t xml:space="preserve"> claims increased year over year with the </w:t>
      </w:r>
      <w:r w:rsidR="00B56472">
        <w:t xml:space="preserve">total </w:t>
      </w:r>
      <w:r w:rsidR="00492C66">
        <w:t>percentage change ranging from 21% to 79%, which the actuarial reports did assume</w:t>
      </w:r>
      <w:r w:rsidR="00B56472">
        <w:t xml:space="preserve"> an </w:t>
      </w:r>
      <w:r w:rsidR="00BB2855">
        <w:t xml:space="preserve">annual </w:t>
      </w:r>
      <w:r w:rsidR="00B56472">
        <w:t>increase</w:t>
      </w:r>
      <w:r w:rsidR="00492C66">
        <w:t xml:space="preserve">. </w:t>
      </w:r>
    </w:p>
    <w:p w:rsidR="000A7924" w:rsidRDefault="000A7924" w:rsidP="000A7924">
      <w:pPr>
        <w:pStyle w:val="Heading4"/>
        <w:numPr>
          <w:ilvl w:val="3"/>
          <w:numId w:val="1"/>
        </w:numPr>
      </w:pPr>
      <w:r>
        <w:t>Analysis of Data</w:t>
      </w:r>
    </w:p>
    <w:p w:rsidR="007F63DE" w:rsidRPr="007F63DE" w:rsidRDefault="00545E76" w:rsidP="007F63DE">
      <w:pPr>
        <w:pStyle w:val="Double"/>
      </w:pPr>
      <w:r>
        <w:t>Baker</w:t>
      </w:r>
      <w:r w:rsidR="00660C94">
        <w:t xml:space="preserve"> </w:t>
      </w:r>
      <w:r>
        <w:t>Tilly</w:t>
      </w:r>
      <w:r w:rsidR="007F63DE">
        <w:t xml:space="preserve"> conducted a review of the data provided by HCPSS for the Health and D</w:t>
      </w:r>
      <w:r w:rsidR="00660C94">
        <w:t xml:space="preserve">ental </w:t>
      </w:r>
      <w:r>
        <w:t>Fund</w:t>
      </w:r>
      <w:r w:rsidR="007F63DE">
        <w:t xml:space="preserve"> and the Grant </w:t>
      </w:r>
      <w:r>
        <w:t>Fund</w:t>
      </w:r>
      <w:r w:rsidR="00E104A8">
        <w:t xml:space="preserve">.  </w:t>
      </w:r>
      <w:r w:rsidR="007F63DE">
        <w:t xml:space="preserve">The review was to ensure that the data was accurate and it was complete </w:t>
      </w:r>
      <w:r w:rsidR="00BF3B75">
        <w:t>for further analysis</w:t>
      </w:r>
      <w:r w:rsidR="00E104A8">
        <w:t xml:space="preserve">.  </w:t>
      </w:r>
      <w:r w:rsidR="007F63DE">
        <w:t xml:space="preserve">The review contained a reconciliation of the general ledger </w:t>
      </w:r>
      <w:r w:rsidR="00167671">
        <w:t>detail</w:t>
      </w:r>
      <w:r w:rsidR="007F63DE">
        <w:t xml:space="preserve"> to the balance sheet and profit and loss statements</w:t>
      </w:r>
      <w:r w:rsidR="00E104A8">
        <w:t xml:space="preserve">.  </w:t>
      </w:r>
      <w:r>
        <w:t>Baker</w:t>
      </w:r>
      <w:r w:rsidR="007F63DE">
        <w:t xml:space="preserve"> </w:t>
      </w:r>
      <w:r>
        <w:t>Tilly</w:t>
      </w:r>
      <w:r w:rsidR="007F63DE">
        <w:t xml:space="preserve"> was able to reconcile the data from a </w:t>
      </w:r>
      <w:r w:rsidR="007F63DE" w:rsidRPr="00272F40">
        <w:t>macro</w:t>
      </w:r>
      <w:r w:rsidR="00167671">
        <w:t xml:space="preserve"> level</w:t>
      </w:r>
      <w:r w:rsidR="00272F40">
        <w:t>; however</w:t>
      </w:r>
      <w:r w:rsidR="00167671">
        <w:t xml:space="preserve">, </w:t>
      </w:r>
      <w:r w:rsidR="009D6F80">
        <w:t xml:space="preserve">we </w:t>
      </w:r>
      <w:r w:rsidR="00272F40">
        <w:t>were</w:t>
      </w:r>
      <w:r w:rsidR="007F63DE">
        <w:t xml:space="preserve"> unable to reconcile the </w:t>
      </w:r>
      <w:r w:rsidR="00272F40">
        <w:t>individual expense categories</w:t>
      </w:r>
      <w:r w:rsidR="007F63DE">
        <w:t xml:space="preserve"> on the profit and loss statements</w:t>
      </w:r>
      <w:r w:rsidR="00E104A8">
        <w:t xml:space="preserve">.  </w:t>
      </w:r>
      <w:r w:rsidR="009D6F80">
        <w:t xml:space="preserve">Because it reconciled at the macro level, </w:t>
      </w:r>
      <w:r>
        <w:t>Baker</w:t>
      </w:r>
      <w:r w:rsidR="007F63DE">
        <w:t xml:space="preserve"> </w:t>
      </w:r>
      <w:r>
        <w:t>Tilly</w:t>
      </w:r>
      <w:r w:rsidR="007F63DE">
        <w:t xml:space="preserve"> </w:t>
      </w:r>
      <w:r w:rsidR="009D6F80">
        <w:t>did rely</w:t>
      </w:r>
      <w:r w:rsidR="00AC2F92">
        <w:t xml:space="preserve"> on the data for testing</w:t>
      </w:r>
      <w:r w:rsidR="007F63DE">
        <w:t>.</w:t>
      </w:r>
      <w:r w:rsidR="00061C9E">
        <w:t xml:space="preserve"> </w:t>
      </w:r>
      <w:r w:rsidR="009D6F80">
        <w:t xml:space="preserve"> </w:t>
      </w:r>
      <w:r w:rsidR="00061C9E">
        <w:t xml:space="preserve">The data received from HCPSS also had to be </w:t>
      </w:r>
      <w:r w:rsidR="00F36D0E">
        <w:t xml:space="preserve">structured and then </w:t>
      </w:r>
      <w:r w:rsidR="00061C9E">
        <w:t>consolidated due to the accounting software changing from FY 2013</w:t>
      </w:r>
      <w:r w:rsidR="001E04CE">
        <w:t xml:space="preserve"> </w:t>
      </w:r>
      <w:r w:rsidR="00061C9E">
        <w:t>-</w:t>
      </w:r>
      <w:r w:rsidR="001E04CE">
        <w:t xml:space="preserve"> </w:t>
      </w:r>
      <w:r w:rsidR="009D6F80">
        <w:t>FY 2016 from</w:t>
      </w:r>
      <w:r w:rsidR="00061C9E">
        <w:t xml:space="preserve"> IFAS to Workday during FY 2017</w:t>
      </w:r>
      <w:r w:rsidR="00E104A8">
        <w:t xml:space="preserve">.  </w:t>
      </w:r>
      <w:r w:rsidR="00061C9E">
        <w:t xml:space="preserve">During the consolidation process, </w:t>
      </w:r>
      <w:r>
        <w:t>Baker</w:t>
      </w:r>
      <w:r w:rsidR="00061C9E">
        <w:t xml:space="preserve"> </w:t>
      </w:r>
      <w:r>
        <w:t>Tilly</w:t>
      </w:r>
      <w:r w:rsidR="00061C9E">
        <w:t xml:space="preserve"> had to convert the data </w:t>
      </w:r>
      <w:r w:rsidR="008604AD">
        <w:t>to one format using a C</w:t>
      </w:r>
      <w:r w:rsidR="00061C9E">
        <w:t xml:space="preserve">aseware analytics </w:t>
      </w:r>
      <w:r w:rsidR="009D6F80">
        <w:t>tool</w:t>
      </w:r>
      <w:r w:rsidR="00061C9E">
        <w:t xml:space="preserve"> called IDEA</w:t>
      </w:r>
      <w:r w:rsidR="00E104A8">
        <w:t xml:space="preserve">.  </w:t>
      </w:r>
      <w:r w:rsidR="00061C9E">
        <w:t xml:space="preserve">Once the data for the Health and Dental </w:t>
      </w:r>
      <w:r>
        <w:t>Fund</w:t>
      </w:r>
      <w:r w:rsidR="00061C9E">
        <w:t xml:space="preserve"> and the Grant </w:t>
      </w:r>
      <w:r>
        <w:lastRenderedPageBreak/>
        <w:t>Fund</w:t>
      </w:r>
      <w:r w:rsidR="00061C9E">
        <w:t xml:space="preserve"> was converted, the FY 2013</w:t>
      </w:r>
      <w:r w:rsidR="001E04CE">
        <w:t xml:space="preserve"> </w:t>
      </w:r>
      <w:r w:rsidR="00061C9E">
        <w:t>-</w:t>
      </w:r>
      <w:r w:rsidR="001E04CE">
        <w:t xml:space="preserve"> FY </w:t>
      </w:r>
      <w:r w:rsidR="00061C9E">
        <w:t xml:space="preserve">2016 </w:t>
      </w:r>
      <w:r w:rsidR="009D6F80">
        <w:t xml:space="preserve">data </w:t>
      </w:r>
      <w:r w:rsidR="00061C9E">
        <w:t>was merged with FY 2017</w:t>
      </w:r>
      <w:r w:rsidR="009D6F80">
        <w:t xml:space="preserve"> data</w:t>
      </w:r>
      <w:r w:rsidR="00E104A8">
        <w:t>,</w:t>
      </w:r>
      <w:r w:rsidR="00061C9E">
        <w:t xml:space="preserve"> which was already received in Microsoft Excel format</w:t>
      </w:r>
      <w:r w:rsidR="00E104A8">
        <w:t>,</w:t>
      </w:r>
      <w:r w:rsidR="0041189F">
        <w:t xml:space="preserve"> and the </w:t>
      </w:r>
      <w:r w:rsidR="00D02DE8">
        <w:t>examination</w:t>
      </w:r>
      <w:r w:rsidR="0041189F">
        <w:t xml:space="preserve"> of the data began</w:t>
      </w:r>
      <w:r w:rsidR="00061C9E">
        <w:t>.</w:t>
      </w:r>
    </w:p>
    <w:p w:rsidR="000A7924" w:rsidRDefault="000A7924" w:rsidP="000A7924">
      <w:pPr>
        <w:pStyle w:val="Heading3"/>
      </w:pPr>
      <w:bookmarkStart w:id="34" w:name="_Toc3477554"/>
      <w:r>
        <w:t xml:space="preserve">Health and </w:t>
      </w:r>
      <w:r w:rsidR="008604AD">
        <w:t xml:space="preserve">Dental </w:t>
      </w:r>
      <w:r w:rsidR="00545E76">
        <w:t>Fund</w:t>
      </w:r>
      <w:r>
        <w:t xml:space="preserve"> and Grant </w:t>
      </w:r>
      <w:r w:rsidR="00545E76">
        <w:t>Fund</w:t>
      </w:r>
      <w:bookmarkEnd w:id="34"/>
    </w:p>
    <w:p w:rsidR="002A23DA" w:rsidRDefault="002A23DA" w:rsidP="000A7924">
      <w:pPr>
        <w:pStyle w:val="Heading4"/>
      </w:pPr>
      <w:r>
        <w:t xml:space="preserve">Health and Dental </w:t>
      </w:r>
      <w:r w:rsidR="00545E76">
        <w:t>Fund</w:t>
      </w:r>
    </w:p>
    <w:p w:rsidR="002A23DA" w:rsidRDefault="002A23DA" w:rsidP="000A7924">
      <w:pPr>
        <w:pStyle w:val="Heading5"/>
      </w:pPr>
      <w:r>
        <w:t>Sample Selection</w:t>
      </w:r>
    </w:p>
    <w:p w:rsidR="009B5B45" w:rsidRDefault="00545E76" w:rsidP="00624A2D">
      <w:pPr>
        <w:pStyle w:val="Double"/>
      </w:pPr>
      <w:r>
        <w:t>Baker</w:t>
      </w:r>
      <w:r w:rsidR="009B5B45" w:rsidRPr="009B5B45">
        <w:t xml:space="preserve"> </w:t>
      </w:r>
      <w:r>
        <w:t>Tilly</w:t>
      </w:r>
      <w:r w:rsidR="009B5B45" w:rsidRPr="009B5B45">
        <w:t xml:space="preserve"> performed a series of data analytics tests on the HCPSS general ledger detail for the Health and Dental </w:t>
      </w:r>
      <w:r>
        <w:t>Fund</w:t>
      </w:r>
      <w:r w:rsidR="009B5B45" w:rsidRPr="009B5B45">
        <w:t xml:space="preserve"> to identify a sample population of 402 transactions for detailed testing and analysis.  Out of the 402 transactions, 281 occurred during </w:t>
      </w:r>
      <w:r w:rsidR="00B54A93">
        <w:t xml:space="preserve">FY </w:t>
      </w:r>
      <w:r w:rsidR="009B5B45" w:rsidRPr="009B5B45">
        <w:t>2013 through</w:t>
      </w:r>
      <w:r w:rsidR="00B54A93">
        <w:t xml:space="preserve"> FY</w:t>
      </w:r>
      <w:r w:rsidR="009B5B45" w:rsidRPr="009B5B45">
        <w:t xml:space="preserve"> 2016.  The remaining 121 transactions occurred during </w:t>
      </w:r>
      <w:r w:rsidR="00B54A93">
        <w:t>FY</w:t>
      </w:r>
      <w:r w:rsidR="009B5B45" w:rsidRPr="009B5B45">
        <w:t xml:space="preserve"> 2017.  </w:t>
      </w:r>
    </w:p>
    <w:p w:rsidR="009B5B45" w:rsidRDefault="009B5B45" w:rsidP="000A7924">
      <w:pPr>
        <w:pStyle w:val="Heading5"/>
      </w:pPr>
      <w:r>
        <w:t>Population Request</w:t>
      </w:r>
    </w:p>
    <w:p w:rsidR="00574208" w:rsidRDefault="001F204E" w:rsidP="009B5B45">
      <w:pPr>
        <w:pStyle w:val="Double"/>
      </w:pPr>
      <w:r>
        <w:t xml:space="preserve">Baker Tilly sent the initial request </w:t>
      </w:r>
      <w:r w:rsidR="003C2B16">
        <w:t xml:space="preserve">for support documentation </w:t>
      </w:r>
      <w:r>
        <w:t xml:space="preserve">to HCPSS </w:t>
      </w:r>
      <w:r w:rsidR="003C2B16">
        <w:t xml:space="preserve">on May 23, 2018 </w:t>
      </w:r>
      <w:r>
        <w:t xml:space="preserve">for </w:t>
      </w:r>
      <w:r w:rsidR="003C2B16">
        <w:t xml:space="preserve">the 402 sample transactions in </w:t>
      </w:r>
      <w:r>
        <w:t>the Health and Dental Fund</w:t>
      </w:r>
      <w:r w:rsidR="003C2B16">
        <w:t xml:space="preserve">.  On May 31, 2018, Baker Tilly requested follow up from </w:t>
      </w:r>
      <w:r w:rsidR="003C2B16" w:rsidRPr="00544C00">
        <w:t>HCPSS on the outstanding transactions and HCPSS provided Baker Tilly o</w:t>
      </w:r>
      <w:r w:rsidR="008D7E98" w:rsidRPr="00544C00">
        <w:t>n June 1, 2018</w:t>
      </w:r>
      <w:r w:rsidR="00F9156F" w:rsidRPr="00544C00">
        <w:t xml:space="preserve"> support documentation for 110</w:t>
      </w:r>
      <w:r w:rsidR="008D7E98" w:rsidRPr="00544C00">
        <w:t xml:space="preserve"> transactions.</w:t>
      </w:r>
      <w:r w:rsidR="003C2B16" w:rsidRPr="00544C00">
        <w:t xml:space="preserve"> </w:t>
      </w:r>
      <w:r w:rsidR="008D7E98" w:rsidRPr="00544C00">
        <w:t xml:space="preserve"> </w:t>
      </w:r>
      <w:r w:rsidR="00C5309C" w:rsidRPr="00544C00">
        <w:t xml:space="preserve">As of June 11, 2018 there were </w:t>
      </w:r>
      <w:r w:rsidR="00133BE0" w:rsidRPr="00544C00">
        <w:t>296</w:t>
      </w:r>
      <w:r w:rsidR="00C5309C" w:rsidRPr="00544C00">
        <w:t xml:space="preserve"> sample transactions still not received.</w:t>
      </w:r>
      <w:r w:rsidR="00790C51" w:rsidRPr="00544C00">
        <w:t xml:space="preserve"> </w:t>
      </w:r>
      <w:r w:rsidR="00C5309C" w:rsidRPr="00544C00">
        <w:t xml:space="preserve"> </w:t>
      </w:r>
      <w:r w:rsidR="008D7E98" w:rsidRPr="00544C00">
        <w:t xml:space="preserve">HCPSS uploaded additional support documentation for </w:t>
      </w:r>
      <w:r w:rsidR="00133BE0" w:rsidRPr="00544C00">
        <w:t>43</w:t>
      </w:r>
      <w:r w:rsidR="008D7E98" w:rsidRPr="00544C00">
        <w:t xml:space="preserve"> transactions on </w:t>
      </w:r>
      <w:r w:rsidR="00C5309C" w:rsidRPr="00544C00">
        <w:t>June 18, 2018</w:t>
      </w:r>
      <w:r w:rsidR="00790C51" w:rsidRPr="00544C00">
        <w:t>,</w:t>
      </w:r>
      <w:r w:rsidR="00C5309C" w:rsidRPr="00544C00">
        <w:t xml:space="preserve"> after a follow up request sent by Baker Tilly on June 17, 2018</w:t>
      </w:r>
      <w:r w:rsidR="008D7E98" w:rsidRPr="00544C00">
        <w:t xml:space="preserve">.  </w:t>
      </w:r>
      <w:r w:rsidR="00790C51" w:rsidRPr="00544C00">
        <w:t>O</w:t>
      </w:r>
      <w:r w:rsidR="00133BE0" w:rsidRPr="00544C00">
        <w:t>n</w:t>
      </w:r>
      <w:r w:rsidR="00790C51" w:rsidRPr="00544C00">
        <w:t xml:space="preserve"> June 28, 2018, Baker Tilly requested another status update on receiving the outstanding Health and Dental Fund sample transaction documentation.  HCPSS </w:t>
      </w:r>
      <w:r w:rsidR="00133BE0" w:rsidRPr="00544C00">
        <w:t>uploaded an additional 5</w:t>
      </w:r>
      <w:r w:rsidR="00544C00" w:rsidRPr="00544C00">
        <w:t>1</w:t>
      </w:r>
      <w:r w:rsidR="00B54A93">
        <w:t xml:space="preserve"> supporting </w:t>
      </w:r>
      <w:r w:rsidR="00B47B82">
        <w:t>documents</w:t>
      </w:r>
      <w:r w:rsidR="00790C51" w:rsidRPr="00544C00">
        <w:t xml:space="preserve"> for outstanding transactions and responded to Baker Tilly on July 2, 2018.  On July 18, 2018, HCPSS responded to a status update email regarding outstanding items sent by Baker Tilly on that same day informing us that 65 boxes of historical files were received from the storage center and they intended to begin working through them.  On August 2, 2018, Baker Tilly followed up with HCPSS on the status of the outstanding support documentation, and HCPSS responded </w:t>
      </w:r>
      <w:r w:rsidR="00790C51" w:rsidRPr="00544C00">
        <w:lastRenderedPageBreak/>
        <w:t>that they were still processing the documents</w:t>
      </w:r>
      <w:r w:rsidR="00506BE4" w:rsidRPr="00544C00">
        <w:t xml:space="preserve"> from the boxes and scanning the support. On August 9, 2018, H</w:t>
      </w:r>
      <w:r w:rsidR="00133BE0" w:rsidRPr="00544C00">
        <w:t>CPSS uploaded approximately 33</w:t>
      </w:r>
      <w:r w:rsidR="00506BE4" w:rsidRPr="00544C00">
        <w:t xml:space="preserve"> transactions</w:t>
      </w:r>
      <w:r w:rsidR="00506BE4">
        <w:t xml:space="preserve"> support files for the Health and Dental Fund.  </w:t>
      </w:r>
      <w:r w:rsidR="00544C00">
        <w:t xml:space="preserve">As of this point in time, Baker Tilly received support for 237 transactions out of the 402 Health and Dental Fund sample population. </w:t>
      </w:r>
      <w:r w:rsidR="0099496D">
        <w:t xml:space="preserve"> </w:t>
      </w:r>
      <w:r w:rsidR="0099496D" w:rsidRPr="0099496D">
        <w:t xml:space="preserve">During the month of September, the main contact at HCPSS for </w:t>
      </w:r>
      <w:r w:rsidR="0099496D">
        <w:t xml:space="preserve">the </w:t>
      </w:r>
      <w:r w:rsidR="009D6F80">
        <w:t>forensic review</w:t>
      </w:r>
      <w:r w:rsidR="0099496D" w:rsidRPr="0099496D">
        <w:t xml:space="preserve"> was out of the office, </w:t>
      </w:r>
      <w:r w:rsidR="009D6F80">
        <w:t>and so</w:t>
      </w:r>
      <w:r w:rsidR="0099496D" w:rsidRPr="0099496D">
        <w:t xml:space="preserve"> Baker Tilly </w:t>
      </w:r>
      <w:r w:rsidR="009D6F80">
        <w:t>was unable to move forward until that individual returned</w:t>
      </w:r>
      <w:r w:rsidR="0099496D" w:rsidRPr="0099496D">
        <w:t>.</w:t>
      </w:r>
      <w:r w:rsidR="0099496D">
        <w:t xml:space="preserve"> </w:t>
      </w:r>
      <w:r w:rsidR="00544C00">
        <w:t xml:space="preserve"> </w:t>
      </w:r>
      <w:r w:rsidR="00506BE4">
        <w:t>Baker Tilly reached out to HCPSS on September 27, 2018 requesting a follow up of the status of the outstanding support documentation, and HCPSS</w:t>
      </w:r>
      <w:r w:rsidR="00464E95">
        <w:t xml:space="preserve"> invited Baker Tilly to come on</w:t>
      </w:r>
      <w:r w:rsidR="00506BE4">
        <w:t>site to go through the boxes they had received because they “did not have any further luck” finding the</w:t>
      </w:r>
      <w:r w:rsidR="00133BE0">
        <w:t xml:space="preserve"> outstanding support for the 165</w:t>
      </w:r>
      <w:r w:rsidR="00506BE4">
        <w:t xml:space="preserve"> transactions. </w:t>
      </w:r>
      <w:r w:rsidR="00574208">
        <w:t xml:space="preserve"> </w:t>
      </w:r>
      <w:r w:rsidR="00506BE4">
        <w:t>Additionally in the days after the last correspondence, Baker Tilly and H</w:t>
      </w:r>
      <w:r w:rsidR="00464E95">
        <w:t>CPSS decided on a team going on</w:t>
      </w:r>
      <w:r w:rsidR="00506BE4">
        <w:t xml:space="preserve">site October </w:t>
      </w:r>
      <w:r w:rsidR="00464E95">
        <w:t>29 – 30, 2018</w:t>
      </w:r>
      <w:r w:rsidR="00574208">
        <w:t xml:space="preserve"> to search for the supporting documentation for the outstanding </w:t>
      </w:r>
      <w:r w:rsidR="00133BE0">
        <w:t>165</w:t>
      </w:r>
      <w:r w:rsidR="00574208">
        <w:t xml:space="preserve"> transactions.</w:t>
      </w:r>
      <w:r w:rsidR="00574208">
        <w:rPr>
          <w:rStyle w:val="FootnoteReference"/>
        </w:rPr>
        <w:footnoteReference w:id="18"/>
      </w:r>
      <w:r w:rsidR="00506BE4">
        <w:t xml:space="preserve"> </w:t>
      </w:r>
      <w:r w:rsidR="00574208">
        <w:t xml:space="preserve"> </w:t>
      </w:r>
      <w:r w:rsidR="007A611B">
        <w:t>Before the site visit, Baker Tilly sent the outstanding testing population sample on October 18, 2018 to HCPSS.</w:t>
      </w:r>
      <w:r w:rsidR="005F693A">
        <w:t xml:space="preserve">  While on site, Baker Tilly was able to identify support for the outstanding transactions or gain an understanding for the transactions that no support would be able to be provided for forensic review.</w:t>
      </w:r>
      <w:r w:rsidR="005F693A">
        <w:rPr>
          <w:rStyle w:val="FootnoteReference"/>
        </w:rPr>
        <w:footnoteReference w:id="19"/>
      </w:r>
      <w:r w:rsidR="005F693A">
        <w:t xml:space="preserve">  </w:t>
      </w:r>
    </w:p>
    <w:p w:rsidR="009B5B45" w:rsidRPr="009B5B45" w:rsidRDefault="00545E76" w:rsidP="009B5B45">
      <w:pPr>
        <w:pStyle w:val="Double"/>
      </w:pPr>
      <w:r>
        <w:t>Baker</w:t>
      </w:r>
      <w:r w:rsidR="00624A2D" w:rsidRPr="009B5B45">
        <w:t xml:space="preserve"> </w:t>
      </w:r>
      <w:r>
        <w:t>Tilly</w:t>
      </w:r>
      <w:r w:rsidR="00624A2D" w:rsidRPr="009B5B45">
        <w:t xml:space="preserve"> requested supporting documentation for all 402 transactions; however, out of that total </w:t>
      </w:r>
      <w:r>
        <w:t>Baker</w:t>
      </w:r>
      <w:r w:rsidR="00624A2D" w:rsidRPr="009B5B45">
        <w:t xml:space="preserve"> </w:t>
      </w:r>
      <w:r>
        <w:t>Tilly</w:t>
      </w:r>
      <w:r w:rsidR="00624A2D" w:rsidRPr="009B5B45">
        <w:t xml:space="preserve"> received from HCPSS and/or located during an onsite visit, some type of supporting documentation for 305 of the 402 transactions.  </w:t>
      </w:r>
      <w:r>
        <w:t>Baker</w:t>
      </w:r>
      <w:r w:rsidR="00624A2D" w:rsidRPr="009B5B45">
        <w:t xml:space="preserve"> </w:t>
      </w:r>
      <w:r>
        <w:t>Tilly</w:t>
      </w:r>
      <w:r w:rsidR="00624A2D" w:rsidRPr="009B5B45">
        <w:t xml:space="preserve"> did not receive or identify support for 97 transactions and it is </w:t>
      </w:r>
      <w:r>
        <w:t>Baker</w:t>
      </w:r>
      <w:r w:rsidR="00624A2D" w:rsidRPr="009B5B45">
        <w:t xml:space="preserve"> </w:t>
      </w:r>
      <w:r>
        <w:t>Tilly</w:t>
      </w:r>
      <w:r w:rsidR="00624A2D" w:rsidRPr="009B5B45">
        <w:t xml:space="preserve">’s understanding that one </w:t>
      </w:r>
      <w:r w:rsidR="007A611B">
        <w:t xml:space="preserve">(1) </w:t>
      </w:r>
      <w:r w:rsidR="00624A2D" w:rsidRPr="009B5B45">
        <w:t xml:space="preserve">transaction relates to Technology ISF Services and 96 relate to benefits or claim supporting documentation during </w:t>
      </w:r>
      <w:r w:rsidR="00574208">
        <w:t>FY</w:t>
      </w:r>
      <w:r w:rsidR="00624A2D" w:rsidRPr="009B5B45">
        <w:t xml:space="preserve"> </w:t>
      </w:r>
      <w:r w:rsidR="00624A2D" w:rsidRPr="009B5B45">
        <w:lastRenderedPageBreak/>
        <w:t xml:space="preserve">2013 through </w:t>
      </w:r>
      <w:r w:rsidR="00574208">
        <w:t>FY 2016</w:t>
      </w:r>
      <w:r w:rsidR="00624A2D" w:rsidRPr="009B5B45">
        <w:t>, which is maintained by the Benefits Department</w:t>
      </w:r>
      <w:r w:rsidR="00E104A8" w:rsidRPr="009B5B45">
        <w:t>.</w:t>
      </w:r>
      <w:r w:rsidR="00E104A8" w:rsidRPr="00990709">
        <w:t xml:space="preserve">  </w:t>
      </w:r>
      <w:r w:rsidR="00990709" w:rsidRPr="00990709">
        <w:t xml:space="preserve">The </w:t>
      </w:r>
      <w:r w:rsidR="00464E95">
        <w:t xml:space="preserve">type of </w:t>
      </w:r>
      <w:r w:rsidR="00990709" w:rsidRPr="00990709">
        <w:t xml:space="preserve">supporting documentation </w:t>
      </w:r>
      <w:r w:rsidR="00990709">
        <w:t>received varied</w:t>
      </w:r>
      <w:r w:rsidR="00990709" w:rsidRPr="00990709">
        <w:t xml:space="preserve"> by transaction and included, but was not limited to, general ledger detail, approval forms, invoices, and transaction batch proofs</w:t>
      </w:r>
      <w:r w:rsidR="00574208">
        <w:t>.</w:t>
      </w:r>
    </w:p>
    <w:p w:rsidR="002A23DA" w:rsidRDefault="002A23DA" w:rsidP="000A7924">
      <w:pPr>
        <w:pStyle w:val="Heading4"/>
      </w:pPr>
      <w:r>
        <w:t xml:space="preserve">Grant </w:t>
      </w:r>
      <w:r w:rsidR="00545E76">
        <w:t>Fund</w:t>
      </w:r>
    </w:p>
    <w:p w:rsidR="002A23DA" w:rsidRDefault="002A23DA" w:rsidP="000A7924">
      <w:pPr>
        <w:pStyle w:val="Heading5"/>
      </w:pPr>
      <w:r>
        <w:t>Sample Selection</w:t>
      </w:r>
    </w:p>
    <w:p w:rsidR="000C504A" w:rsidRPr="000C504A" w:rsidRDefault="00545E76" w:rsidP="000C504A">
      <w:pPr>
        <w:pStyle w:val="Double"/>
      </w:pPr>
      <w:r>
        <w:t>Baker</w:t>
      </w:r>
      <w:r w:rsidR="000C504A" w:rsidRPr="009B5B45">
        <w:t xml:space="preserve"> </w:t>
      </w:r>
      <w:r>
        <w:t>Tilly</w:t>
      </w:r>
      <w:r w:rsidR="000C504A" w:rsidRPr="009B5B45">
        <w:t xml:space="preserve"> performed a series of data analytics tests on the HCPSS general ledger detail for the </w:t>
      </w:r>
      <w:r w:rsidR="000C504A">
        <w:t>Grant</w:t>
      </w:r>
      <w:r w:rsidR="000C504A" w:rsidRPr="009B5B45">
        <w:t xml:space="preserve"> </w:t>
      </w:r>
      <w:r>
        <w:t>Fund</w:t>
      </w:r>
      <w:r w:rsidR="000C504A" w:rsidRPr="009B5B45">
        <w:t xml:space="preserve"> to </w:t>
      </w:r>
      <w:r w:rsidR="00811E4D">
        <w:t>identify a sample population of 384</w:t>
      </w:r>
      <w:r w:rsidR="000C504A" w:rsidRPr="009B5B45">
        <w:t xml:space="preserve"> transactions for detailed te</w:t>
      </w:r>
      <w:r w:rsidR="00811E4D">
        <w:t>sting and analysis.  Out of the 384 transactions, 255</w:t>
      </w:r>
      <w:r w:rsidR="000C504A" w:rsidRPr="009B5B45">
        <w:t xml:space="preserve"> occurred during </w:t>
      </w:r>
      <w:r w:rsidR="00464E95">
        <w:t>FY</w:t>
      </w:r>
      <w:r w:rsidR="000C504A" w:rsidRPr="009B5B45">
        <w:t xml:space="preserve"> 2013 through </w:t>
      </w:r>
      <w:r w:rsidR="00464E95">
        <w:t xml:space="preserve">FY </w:t>
      </w:r>
      <w:r w:rsidR="000C504A" w:rsidRPr="009B5B45">
        <w:t xml:space="preserve">2016.  The remaining </w:t>
      </w:r>
      <w:r w:rsidR="00811E4D">
        <w:t xml:space="preserve">129 </w:t>
      </w:r>
      <w:r w:rsidR="000C504A" w:rsidRPr="009B5B45">
        <w:t>transact</w:t>
      </w:r>
      <w:r w:rsidR="00464E95">
        <w:t>ions occurred during FY</w:t>
      </w:r>
      <w:r w:rsidR="000C504A" w:rsidRPr="009B5B45">
        <w:t xml:space="preserve"> 2017.</w:t>
      </w:r>
    </w:p>
    <w:p w:rsidR="002A23DA" w:rsidRDefault="002A23DA" w:rsidP="000A7924">
      <w:pPr>
        <w:pStyle w:val="Heading5"/>
      </w:pPr>
      <w:r>
        <w:t>Population Request</w:t>
      </w:r>
    </w:p>
    <w:p w:rsidR="000C504A" w:rsidRPr="000C504A" w:rsidRDefault="00545E76" w:rsidP="000C504A">
      <w:pPr>
        <w:pStyle w:val="Double"/>
      </w:pPr>
      <w:r>
        <w:t>Baker</w:t>
      </w:r>
      <w:r w:rsidR="00830FAC">
        <w:t xml:space="preserve"> </w:t>
      </w:r>
      <w:r>
        <w:t>Tilly</w:t>
      </w:r>
      <w:r w:rsidR="00830FAC">
        <w:t xml:space="preserve"> requested supporting documentation for the </w:t>
      </w:r>
      <w:r w:rsidR="00830FAC" w:rsidRPr="007B1CC3">
        <w:t>sample population</w:t>
      </w:r>
      <w:r w:rsidR="00830FAC">
        <w:t xml:space="preserve"> for all 384 transactions</w:t>
      </w:r>
      <w:r w:rsidR="00830FAC" w:rsidRPr="007B1CC3">
        <w:t xml:space="preserve"> on October 18, 2018</w:t>
      </w:r>
      <w:r w:rsidR="00E104A8" w:rsidRPr="007B1CC3">
        <w:t xml:space="preserve">.  </w:t>
      </w:r>
      <w:r w:rsidR="00830FAC">
        <w:t xml:space="preserve"> </w:t>
      </w:r>
      <w:r w:rsidR="00464E95">
        <w:t>As of the date of this Report</w:t>
      </w:r>
      <w:r w:rsidR="000C504A" w:rsidRPr="000C504A">
        <w:t xml:space="preserve">, </w:t>
      </w:r>
      <w:r>
        <w:t>Baker</w:t>
      </w:r>
      <w:r w:rsidR="000C504A" w:rsidRPr="000C504A">
        <w:t xml:space="preserve"> </w:t>
      </w:r>
      <w:r>
        <w:t>Tilly</w:t>
      </w:r>
      <w:r w:rsidR="000C504A" w:rsidRPr="000C504A">
        <w:t xml:space="preserve"> has received no supporting documentation from HCPSS.</w:t>
      </w:r>
      <w:r w:rsidR="000C504A" w:rsidRPr="009B5B45">
        <w:t xml:space="preserve">  </w:t>
      </w:r>
    </w:p>
    <w:p w:rsidR="002A23DA" w:rsidRDefault="00F95BBD" w:rsidP="00F95BBD">
      <w:pPr>
        <w:pStyle w:val="Heading2"/>
      </w:pPr>
      <w:bookmarkStart w:id="35" w:name="_Toc3477555"/>
      <w:r>
        <w:t>Forensic Review</w:t>
      </w:r>
      <w:bookmarkEnd w:id="35"/>
    </w:p>
    <w:p w:rsidR="006C346C" w:rsidRDefault="006C346C" w:rsidP="006C346C">
      <w:pPr>
        <w:pStyle w:val="Heading3"/>
      </w:pPr>
      <w:bookmarkStart w:id="36" w:name="_Toc3477556"/>
      <w:r>
        <w:t xml:space="preserve">Health and Dental </w:t>
      </w:r>
      <w:r w:rsidR="00545E76">
        <w:t>Fund</w:t>
      </w:r>
      <w:bookmarkEnd w:id="36"/>
    </w:p>
    <w:p w:rsidR="006C346C" w:rsidRDefault="00545E76" w:rsidP="00363D34">
      <w:pPr>
        <w:pStyle w:val="Double"/>
      </w:pPr>
      <w:r>
        <w:t>Baker</w:t>
      </w:r>
      <w:r w:rsidR="00363D34" w:rsidRPr="00363D34">
        <w:t xml:space="preserve"> </w:t>
      </w:r>
      <w:r>
        <w:t>Tilly</w:t>
      </w:r>
      <w:r w:rsidR="00363D34" w:rsidRPr="00363D34">
        <w:t xml:space="preserve"> </w:t>
      </w:r>
      <w:r w:rsidR="000A7924">
        <w:t>identified</w:t>
      </w:r>
      <w:r w:rsidR="00363D34" w:rsidRPr="00363D34">
        <w:t xml:space="preserve"> that supporting documentation could not be located and/or provided for historical transactions (</w:t>
      </w:r>
      <w:r w:rsidR="00363D34" w:rsidRPr="00464E95">
        <w:rPr>
          <w:i/>
        </w:rPr>
        <w:t>i.e.,</w:t>
      </w:r>
      <w:r w:rsidR="00363D34" w:rsidRPr="00363D34">
        <w:t xml:space="preserve"> occurring during </w:t>
      </w:r>
      <w:r w:rsidR="00296B09">
        <w:t>FY</w:t>
      </w:r>
      <w:r w:rsidR="00363D34" w:rsidRPr="00363D34">
        <w:t xml:space="preserve"> 2013 through </w:t>
      </w:r>
      <w:r w:rsidR="00296B09">
        <w:t xml:space="preserve">FY </w:t>
      </w:r>
      <w:r w:rsidR="00363D34" w:rsidRPr="00363D34">
        <w:t>2016) that were related to claims, GRS</w:t>
      </w:r>
      <w:r w:rsidR="00363D34">
        <w:t xml:space="preserve"> </w:t>
      </w:r>
      <w:r w:rsidR="00363D34" w:rsidRPr="00363D34">
        <w:t xml:space="preserve">or electronic </w:t>
      </w:r>
      <w:r>
        <w:t>Fund</w:t>
      </w:r>
      <w:r w:rsidR="00363D34" w:rsidRPr="00363D34">
        <w:t xml:space="preserve"> transfers (“</w:t>
      </w:r>
      <w:r w:rsidR="00363D34" w:rsidRPr="00296B09">
        <w:rPr>
          <w:u w:val="single"/>
        </w:rPr>
        <w:t>EFT</w:t>
      </w:r>
      <w:r w:rsidR="00363D34" w:rsidRPr="00363D34">
        <w:t xml:space="preserve">”).  </w:t>
      </w:r>
      <w:r>
        <w:t>Baker</w:t>
      </w:r>
      <w:r w:rsidR="00363D34" w:rsidRPr="00363D34">
        <w:t xml:space="preserve"> </w:t>
      </w:r>
      <w:r>
        <w:t>Tilly</w:t>
      </w:r>
      <w:r w:rsidR="00363D34" w:rsidRPr="00363D34">
        <w:t xml:space="preserve"> understands that the transaction support pertaining to claims may be stored in a different location than the accounts payable boxes archived at Iron Mountain</w:t>
      </w:r>
      <w:r w:rsidR="000A7924">
        <w:rPr>
          <w:rStyle w:val="FootnoteReference"/>
        </w:rPr>
        <w:footnoteReference w:id="20"/>
      </w:r>
      <w:r w:rsidR="00363D34" w:rsidRPr="00363D34">
        <w:t>.</w:t>
      </w:r>
    </w:p>
    <w:p w:rsidR="00363D34" w:rsidRDefault="00363D34" w:rsidP="00363D34">
      <w:pPr>
        <w:pStyle w:val="Double"/>
      </w:pPr>
      <w:r w:rsidRPr="00363D34">
        <w:t xml:space="preserve">HCPSS explained to </w:t>
      </w:r>
      <w:r w:rsidR="00545E76">
        <w:t>Baker</w:t>
      </w:r>
      <w:r w:rsidRPr="00363D34">
        <w:t xml:space="preserve"> </w:t>
      </w:r>
      <w:r w:rsidR="00545E76">
        <w:t>Tilly</w:t>
      </w:r>
      <w:r w:rsidRPr="00363D34">
        <w:t xml:space="preserve">, based on the </w:t>
      </w:r>
      <w:r w:rsidR="00296B09">
        <w:t>FY</w:t>
      </w:r>
      <w:r w:rsidRPr="00363D34">
        <w:t xml:space="preserve"> budget, the Health and Dental </w:t>
      </w:r>
      <w:r w:rsidR="00545E76">
        <w:t>Fund</w:t>
      </w:r>
      <w:r w:rsidRPr="00363D34">
        <w:t xml:space="preserve"> makes a reoccurring monthly payment to other </w:t>
      </w:r>
      <w:r w:rsidR="00545E76">
        <w:t>Funds</w:t>
      </w:r>
      <w:r w:rsidRPr="00363D34">
        <w:t xml:space="preserve"> (</w:t>
      </w:r>
      <w:r w:rsidRPr="00296B09">
        <w:rPr>
          <w:i/>
        </w:rPr>
        <w:t>e.g.</w:t>
      </w:r>
      <w:r w:rsidR="00296B09" w:rsidRPr="00296B09">
        <w:rPr>
          <w:i/>
        </w:rPr>
        <w:t>,</w:t>
      </w:r>
      <w:r w:rsidRPr="00363D34">
        <w:t xml:space="preserve"> Technology </w:t>
      </w:r>
      <w:r w:rsidR="00545E76">
        <w:t>Fund</w:t>
      </w:r>
      <w:r w:rsidRPr="00363D34">
        <w:t xml:space="preserve"> and Printing </w:t>
      </w:r>
      <w:r w:rsidR="00545E76">
        <w:t>Fund</w:t>
      </w:r>
      <w:r w:rsidRPr="00363D34">
        <w:t xml:space="preserve">).  </w:t>
      </w:r>
      <w:r w:rsidR="00545E76">
        <w:lastRenderedPageBreak/>
        <w:t>Baker</w:t>
      </w:r>
      <w:r w:rsidRPr="00363D34">
        <w:t xml:space="preserve"> </w:t>
      </w:r>
      <w:r w:rsidR="00545E76">
        <w:t>Tilly</w:t>
      </w:r>
      <w:r w:rsidRPr="00363D34">
        <w:t xml:space="preserve">’s understanding is that the money transferred to the Technology and the Printing </w:t>
      </w:r>
      <w:r w:rsidR="00545E76">
        <w:t>Fund</w:t>
      </w:r>
      <w:r w:rsidRPr="00363D34">
        <w:t xml:space="preserve"> are to be used to cover purchases of technology and printing items for the Health and Dental </w:t>
      </w:r>
      <w:r w:rsidR="00545E76">
        <w:t>Fund</w:t>
      </w:r>
      <w:r w:rsidRPr="00363D34">
        <w:t xml:space="preserve">.  Through testing procedures, we identified transactions relating to purchases of technology items that were paid directly from the Health and Dental </w:t>
      </w:r>
      <w:r w:rsidR="00545E76">
        <w:t>Fund</w:t>
      </w:r>
      <w:r w:rsidRPr="00363D34">
        <w:t xml:space="preserve"> rather than the Technology </w:t>
      </w:r>
      <w:r w:rsidR="00545E76">
        <w:t>Fund</w:t>
      </w:r>
      <w:r w:rsidRPr="00363D34">
        <w:t>.</w:t>
      </w:r>
    </w:p>
    <w:p w:rsidR="00363D34" w:rsidRDefault="00545E76" w:rsidP="00363D34">
      <w:pPr>
        <w:pStyle w:val="Double"/>
      </w:pPr>
      <w:r>
        <w:t>Baker</w:t>
      </w:r>
      <w:r w:rsidR="00363D34">
        <w:t xml:space="preserve"> </w:t>
      </w:r>
      <w:r>
        <w:t>Tilly</w:t>
      </w:r>
      <w:r w:rsidR="00363D34">
        <w:t xml:space="preserve"> observed “warning” messages on transactions appear in the batch proofs.  This warning message indicates that when processing a transaction, the “working budget” would be exceeded for the fiscal year and it is able to identify the amount surpassed.  It appears that transactions can still be processed even after a warning message has been issued.</w:t>
      </w:r>
    </w:p>
    <w:p w:rsidR="00363D34" w:rsidRDefault="00545E76" w:rsidP="00363D34">
      <w:pPr>
        <w:pStyle w:val="Double"/>
      </w:pPr>
      <w:r>
        <w:t>Baker</w:t>
      </w:r>
      <w:r w:rsidR="00363D34">
        <w:t xml:space="preserve"> </w:t>
      </w:r>
      <w:r>
        <w:t>Tilly</w:t>
      </w:r>
      <w:r w:rsidR="00363D34">
        <w:t xml:space="preserve"> observed that consistent supporting documentation was not always available.  While some transactions were similar in nature, the support received was not always the same between the transactions.  Additionally, there were instances where support was not able to be located and a batch proof or general ledger report was the only source to review as supporting documentation for a transaction.</w:t>
      </w:r>
    </w:p>
    <w:p w:rsidR="00363D34" w:rsidRDefault="00545E76" w:rsidP="00363D34">
      <w:pPr>
        <w:pStyle w:val="Double"/>
      </w:pPr>
      <w:r>
        <w:t>Baker</w:t>
      </w:r>
      <w:r w:rsidR="00363D34">
        <w:t xml:space="preserve"> </w:t>
      </w:r>
      <w:r>
        <w:t>Tilly</w:t>
      </w:r>
      <w:r w:rsidR="00363D34">
        <w:t xml:space="preserve"> also </w:t>
      </w:r>
      <w:r w:rsidR="00E266E6">
        <w:t>recognized</w:t>
      </w:r>
      <w:r w:rsidR="00363D34">
        <w:t xml:space="preserve"> a lack of consistency in transaction </w:t>
      </w:r>
      <w:r w:rsidR="00017E35">
        <w:t xml:space="preserve">approvals.  The following are </w:t>
      </w:r>
      <w:r w:rsidR="00CB7353">
        <w:t xml:space="preserve">a few </w:t>
      </w:r>
      <w:r w:rsidR="00363D34">
        <w:t>examples of what was identified:</w:t>
      </w:r>
    </w:p>
    <w:p w:rsidR="00363D34" w:rsidRDefault="00363D34" w:rsidP="00363D34">
      <w:pPr>
        <w:pStyle w:val="Double"/>
        <w:numPr>
          <w:ilvl w:val="0"/>
          <w:numId w:val="23"/>
        </w:numPr>
      </w:pPr>
      <w:r>
        <w:t>There are instances of approvals by the same employee for two separate titles (i.e. requestor and accounting manager are signed by the same employee);</w:t>
      </w:r>
    </w:p>
    <w:p w:rsidR="00363D34" w:rsidRDefault="00363D34" w:rsidP="00363D34">
      <w:pPr>
        <w:pStyle w:val="Double"/>
        <w:numPr>
          <w:ilvl w:val="0"/>
          <w:numId w:val="23"/>
        </w:numPr>
      </w:pPr>
      <w:r>
        <w:t>Employees using their signature of approval for a position that does not relate to their designated title (i.e. higher level employees signing for the account manager level whereas the correct account manager is signing for accounting office);</w:t>
      </w:r>
    </w:p>
    <w:p w:rsidR="00363D34" w:rsidRDefault="00363D34" w:rsidP="00363D34">
      <w:pPr>
        <w:pStyle w:val="Double"/>
        <w:numPr>
          <w:ilvl w:val="0"/>
          <w:numId w:val="23"/>
        </w:numPr>
      </w:pPr>
      <w:r>
        <w:t xml:space="preserve">Employees not receiving required higher levels of approval by upper management on a transaction (i.e. requestor and account manager approved the transaction but </w:t>
      </w:r>
      <w:r>
        <w:lastRenderedPageBreak/>
        <w:t>the accounting office did not have an approval signature, or requestor signed but the account manager’s and accounting office’s signatures are blank); and</w:t>
      </w:r>
    </w:p>
    <w:p w:rsidR="00363D34" w:rsidRPr="00363D34" w:rsidRDefault="00363D34" w:rsidP="00363D34">
      <w:pPr>
        <w:pStyle w:val="Double"/>
        <w:numPr>
          <w:ilvl w:val="0"/>
          <w:numId w:val="23"/>
        </w:numPr>
      </w:pPr>
      <w:r>
        <w:t>Employees signing off where another is listed (i.e. an accounting officer’s name was crossed out and then signed by another employee for that level’s approval).</w:t>
      </w:r>
    </w:p>
    <w:p w:rsidR="007D67D6" w:rsidRDefault="007D67D6" w:rsidP="00B35DA5">
      <w:pPr>
        <w:pStyle w:val="Heading4"/>
      </w:pPr>
      <w:bookmarkStart w:id="37" w:name="_Toc388360784"/>
      <w:bookmarkStart w:id="38" w:name="_Toc388360908"/>
      <w:bookmarkStart w:id="39" w:name="_Toc388360957"/>
      <w:bookmarkEnd w:id="31"/>
      <w:r>
        <w:t>O</w:t>
      </w:r>
      <w:r w:rsidR="00F7051F">
        <w:t>ns</w:t>
      </w:r>
      <w:r w:rsidR="00394ED2">
        <w:t>ite V</w:t>
      </w:r>
      <w:r>
        <w:t>isit</w:t>
      </w:r>
    </w:p>
    <w:p w:rsidR="007D67D6" w:rsidRDefault="006A05F1" w:rsidP="007D67D6">
      <w:pPr>
        <w:pStyle w:val="Double"/>
      </w:pPr>
      <w:r>
        <w:t>M</w:t>
      </w:r>
      <w:r w:rsidR="007D67D6">
        <w:t xml:space="preserve">embers of </w:t>
      </w:r>
      <w:r>
        <w:t xml:space="preserve">the </w:t>
      </w:r>
      <w:r w:rsidR="00545E76">
        <w:t>Baker</w:t>
      </w:r>
      <w:r w:rsidR="007D67D6">
        <w:t xml:space="preserve"> </w:t>
      </w:r>
      <w:r w:rsidR="00545E76">
        <w:t>Tilly</w:t>
      </w:r>
      <w:r w:rsidR="007D67D6">
        <w:t xml:space="preserve"> </w:t>
      </w:r>
      <w:r>
        <w:t xml:space="preserve">team </w:t>
      </w:r>
      <w:r w:rsidR="007D67D6">
        <w:t xml:space="preserve">were on site </w:t>
      </w:r>
      <w:r>
        <w:t>at HCPSS reviewing</w:t>
      </w:r>
      <w:r w:rsidR="007D67D6">
        <w:t xml:space="preserve"> </w:t>
      </w:r>
      <w:r>
        <w:t>transaction documentation to identify any potential additional support</w:t>
      </w:r>
      <w:r w:rsidR="007D67D6">
        <w:t xml:space="preserve"> </w:t>
      </w:r>
      <w:r>
        <w:t xml:space="preserve">for the </w:t>
      </w:r>
      <w:r w:rsidR="001A70BB">
        <w:t xml:space="preserve">outstanding </w:t>
      </w:r>
      <w:r>
        <w:t xml:space="preserve">transactions in the sample population for the Health and Dental </w:t>
      </w:r>
      <w:r w:rsidR="00545E76">
        <w:t>Fund</w:t>
      </w:r>
      <w:r w:rsidR="003D0C88">
        <w:t xml:space="preserve">.  There was an identified population of </w:t>
      </w:r>
      <w:r w:rsidR="009314F8">
        <w:t>165</w:t>
      </w:r>
      <w:r w:rsidR="003D0C88">
        <w:t xml:space="preserve"> transactions from the sample population in FY 2013 - FY 2016 that HCPSS employees were unable to locate.  While on site, discussions with HCPSS employees </w:t>
      </w:r>
      <w:r w:rsidR="007D67D6">
        <w:t xml:space="preserve">provided additional insight </w:t>
      </w:r>
      <w:r w:rsidR="003D0C88">
        <w:t xml:space="preserve">about processes in the accounting, benefits and finance departments </w:t>
      </w:r>
      <w:r w:rsidR="007D67D6">
        <w:t>at HCPSS</w:t>
      </w:r>
      <w:r w:rsidR="00E104A8">
        <w:t xml:space="preserve">.  </w:t>
      </w:r>
      <w:r w:rsidR="007D67D6">
        <w:t>The following information was learned through this visit:</w:t>
      </w:r>
    </w:p>
    <w:p w:rsidR="00B76C95" w:rsidRDefault="00B76C95" w:rsidP="009314F8">
      <w:pPr>
        <w:pStyle w:val="Double"/>
        <w:numPr>
          <w:ilvl w:val="0"/>
          <w:numId w:val="25"/>
        </w:numPr>
      </w:pPr>
      <w:r>
        <w:t>Recording claims is the same through the various vendors and is understood as follows:</w:t>
      </w:r>
    </w:p>
    <w:p w:rsidR="00B76C95" w:rsidRDefault="00B76C95" w:rsidP="00B76C95">
      <w:pPr>
        <w:pStyle w:val="Double"/>
        <w:numPr>
          <w:ilvl w:val="1"/>
          <w:numId w:val="25"/>
        </w:numPr>
      </w:pPr>
      <w:r>
        <w:t xml:space="preserve">HCPSS receives a remittance slip from the vendors; </w:t>
      </w:r>
    </w:p>
    <w:p w:rsidR="00B76C95" w:rsidRDefault="00B76C95" w:rsidP="00B76C95">
      <w:pPr>
        <w:pStyle w:val="Double"/>
        <w:numPr>
          <w:ilvl w:val="1"/>
          <w:numId w:val="25"/>
        </w:numPr>
      </w:pPr>
      <w:r>
        <w:t xml:space="preserve">The claim is processed through the benefits department; </w:t>
      </w:r>
    </w:p>
    <w:p w:rsidR="00B76C95" w:rsidRDefault="00B76C95" w:rsidP="00B76C95">
      <w:pPr>
        <w:pStyle w:val="Double"/>
        <w:numPr>
          <w:ilvl w:val="1"/>
          <w:numId w:val="25"/>
        </w:numPr>
      </w:pPr>
      <w:r>
        <w:t xml:space="preserve">The finance department confirms the ACH for each specific vendor to the support received from the benefits department; </w:t>
      </w:r>
    </w:p>
    <w:p w:rsidR="00B76C95" w:rsidRDefault="00B76C95" w:rsidP="00B76C95">
      <w:pPr>
        <w:pStyle w:val="Double"/>
        <w:numPr>
          <w:ilvl w:val="1"/>
          <w:numId w:val="25"/>
        </w:numPr>
      </w:pPr>
      <w:r>
        <w:t xml:space="preserve">The amounts are reconciled and deemed appropriate or not; </w:t>
      </w:r>
    </w:p>
    <w:p w:rsidR="00B76C95" w:rsidRDefault="00B76C95" w:rsidP="00B76C95">
      <w:pPr>
        <w:pStyle w:val="Double"/>
        <w:numPr>
          <w:ilvl w:val="1"/>
          <w:numId w:val="25"/>
        </w:numPr>
      </w:pPr>
      <w:r>
        <w:t xml:space="preserve">Vendor sends an email to HCPSS regarding receipt of payment from their account; and </w:t>
      </w:r>
    </w:p>
    <w:p w:rsidR="009314F8" w:rsidRDefault="00B76C95" w:rsidP="00B76C95">
      <w:pPr>
        <w:pStyle w:val="Double"/>
        <w:numPr>
          <w:ilvl w:val="1"/>
          <w:numId w:val="25"/>
        </w:numPr>
      </w:pPr>
      <w:r>
        <w:t>HCPSS will debit the expense in the finance department and credit cash.</w:t>
      </w:r>
    </w:p>
    <w:p w:rsidR="00A70F25" w:rsidRDefault="00B76C95" w:rsidP="00B76C95">
      <w:pPr>
        <w:pStyle w:val="Double"/>
        <w:numPr>
          <w:ilvl w:val="0"/>
          <w:numId w:val="25"/>
        </w:numPr>
      </w:pPr>
      <w:r>
        <w:lastRenderedPageBreak/>
        <w:t>A transaction that is a GRS primarily falls under the categories temporary help, salary – professional, employee non-election payments and is believed to stand for Group Retirement Services.</w:t>
      </w:r>
    </w:p>
    <w:p w:rsidR="00B76C95" w:rsidRDefault="00B76C95" w:rsidP="004910DF">
      <w:pPr>
        <w:pStyle w:val="Double"/>
        <w:numPr>
          <w:ilvl w:val="0"/>
          <w:numId w:val="25"/>
        </w:numPr>
      </w:pPr>
      <w:r>
        <w:t xml:space="preserve">ISF - Printing Fund and ISF – Technology Fund are believed to stand for Internal Service Funds.  These transactions are monthly reoccurring payments from the Health and Dental Fund to the Printing Fund and Technology Funds. </w:t>
      </w:r>
      <w:r w:rsidR="009F734C">
        <w:t xml:space="preserve"> </w:t>
      </w:r>
      <w:r>
        <w:t xml:space="preserve">There is an approved budgeted amount out of the Health and Dental Fund that is to be used to fund the Technology and the Printing Funds. </w:t>
      </w:r>
      <w:r w:rsidR="009F734C">
        <w:t xml:space="preserve"> All other Funds pay into the Technology and Printing Funds.  Monthly payments made by all F</w:t>
      </w:r>
      <w:r>
        <w:t xml:space="preserve">unds are for the purpose </w:t>
      </w:r>
      <w:r w:rsidR="009F734C">
        <w:t>for the</w:t>
      </w:r>
      <w:r>
        <w:t xml:space="preserve"> Technology and Printing Funds to purchase items and services for all HCPSS locations.</w:t>
      </w:r>
      <w:r w:rsidR="009F734C">
        <w:t xml:space="preserve">  The</w:t>
      </w:r>
      <w:r>
        <w:t xml:space="preserve"> Technology and Printing Funds are also known as “blanket funds”</w:t>
      </w:r>
      <w:r w:rsidR="009F734C">
        <w:t>.  These types of transactions are</w:t>
      </w:r>
      <w:r>
        <w:t xml:space="preserve"> referred to as “charge backs” to the Technology and Printing Funds.</w:t>
      </w:r>
      <w:r w:rsidR="009F734C">
        <w:t xml:space="preserve">  All the other Funds take the expense side, </w:t>
      </w:r>
      <w:r>
        <w:t>where the Technology and Printing Funds take the Revenue side.</w:t>
      </w:r>
      <w:r w:rsidR="004910DF">
        <w:t xml:space="preserve">  </w:t>
      </w:r>
      <w:r w:rsidR="009F734C">
        <w:t>The</w:t>
      </w:r>
      <w:r>
        <w:t xml:space="preserve"> payments </w:t>
      </w:r>
      <w:r w:rsidR="009F734C">
        <w:t xml:space="preserve">are </w:t>
      </w:r>
      <w:r>
        <w:t>currently are not</w:t>
      </w:r>
      <w:r w:rsidR="009F734C">
        <w:t xml:space="preserve"> automated and that there is</w:t>
      </w:r>
      <w:r>
        <w:t xml:space="preserve"> a budgeted amount per year and the transactions are split evenly for each month to take </w:t>
      </w:r>
      <w:r w:rsidR="004910DF">
        <w:t xml:space="preserve">the entire </w:t>
      </w:r>
      <w:r>
        <w:t>budget</w:t>
      </w:r>
      <w:r w:rsidR="004910DF">
        <w:t>ed amount</w:t>
      </w:r>
      <w:r>
        <w:t xml:space="preserve"> into this fund.</w:t>
      </w:r>
    </w:p>
    <w:p w:rsidR="00EE27D7" w:rsidRDefault="00EE27D7" w:rsidP="004910DF">
      <w:pPr>
        <w:pStyle w:val="Double"/>
        <w:numPr>
          <w:ilvl w:val="0"/>
          <w:numId w:val="25"/>
        </w:numPr>
      </w:pPr>
      <w:r>
        <w:t>Claims data would not be located in accounts payable boxes.  Due to the nature of the transaction, it contains confidential information and employee data, which requires them to be handled through the Benefits Department.</w:t>
      </w:r>
      <w:r w:rsidR="0004012E">
        <w:t xml:space="preserve">  Transactions that relate to legal </w:t>
      </w:r>
      <w:r w:rsidR="00600E85">
        <w:t xml:space="preserve">matters </w:t>
      </w:r>
      <w:r w:rsidR="0004012E">
        <w:t xml:space="preserve">are </w:t>
      </w:r>
      <w:r w:rsidR="00600E85">
        <w:t>also stored in another location do to confidential information.</w:t>
      </w:r>
    </w:p>
    <w:p w:rsidR="00EE27D7" w:rsidRDefault="00EE27D7" w:rsidP="004910DF">
      <w:pPr>
        <w:pStyle w:val="Double"/>
        <w:numPr>
          <w:ilvl w:val="0"/>
          <w:numId w:val="25"/>
        </w:numPr>
      </w:pPr>
      <w:r>
        <w:lastRenderedPageBreak/>
        <w:t>Credit receipt and journal entry transactions are also not stored in the accounts payable boxes.  They are stored at Iron Mountain in their own boxes due to the category of transaction.  The FY 2017 to present are currently contained in HCPSS accounting software, Workday.</w:t>
      </w:r>
    </w:p>
    <w:p w:rsidR="00A70F25" w:rsidRDefault="0004012E" w:rsidP="00290AF5">
      <w:pPr>
        <w:pStyle w:val="Double"/>
        <w:numPr>
          <w:ilvl w:val="0"/>
          <w:numId w:val="25"/>
        </w:numPr>
      </w:pPr>
      <w:r>
        <w:t>There are specific vendors for HCPSS where a blank spreadsheet is sent to the vendor to fill out details and criteria for import to their IFAS system which is done on a monthly basis.  These spreadsheets contain all the expenditures for the month for that specific vendor.</w:t>
      </w:r>
    </w:p>
    <w:p w:rsidR="00A70F25" w:rsidRDefault="00A70F25" w:rsidP="00D3295B">
      <w:pPr>
        <w:pStyle w:val="Double"/>
      </w:pPr>
      <w:r>
        <w:t xml:space="preserve">After learning the new additional details from discussions with HCPSS employees, </w:t>
      </w:r>
      <w:r w:rsidR="00545E76">
        <w:t>Baker</w:t>
      </w:r>
      <w:r>
        <w:t xml:space="preserve"> </w:t>
      </w:r>
      <w:r w:rsidR="00545E76">
        <w:t>Tilly</w:t>
      </w:r>
      <w:r>
        <w:t xml:space="preserve"> was able to decrease the outstanding Health and Dental </w:t>
      </w:r>
      <w:r w:rsidR="00545E76">
        <w:t>Fund</w:t>
      </w:r>
      <w:r>
        <w:t xml:space="preserve"> sample population to </w:t>
      </w:r>
      <w:r w:rsidR="009314F8">
        <w:t>approximately 68</w:t>
      </w:r>
      <w:r w:rsidR="00E104A8">
        <w:t xml:space="preserve">.  </w:t>
      </w:r>
      <w:r>
        <w:t xml:space="preserve">This </w:t>
      </w:r>
      <w:r w:rsidR="009314F8">
        <w:t xml:space="preserve">decrease </w:t>
      </w:r>
      <w:r>
        <w:t xml:space="preserve">was due to </w:t>
      </w:r>
      <w:r w:rsidR="009314F8">
        <w:t>97</w:t>
      </w:r>
      <w:r w:rsidR="00D3295B">
        <w:t xml:space="preserve"> transactions</w:t>
      </w:r>
      <w:r>
        <w:t xml:space="preserve"> being classified as claims</w:t>
      </w:r>
      <w:r w:rsidR="009314F8">
        <w:t xml:space="preserve"> or GRS</w:t>
      </w:r>
      <w:r>
        <w:t xml:space="preserve">. </w:t>
      </w:r>
      <w:r w:rsidR="00D3295B">
        <w:t xml:space="preserve"> </w:t>
      </w:r>
      <w:r w:rsidR="00545E76">
        <w:t>Baker</w:t>
      </w:r>
      <w:r w:rsidR="00D3295B">
        <w:t xml:space="preserve"> </w:t>
      </w:r>
      <w:r w:rsidR="00545E76">
        <w:t>Tilly</w:t>
      </w:r>
      <w:r w:rsidR="005F4E55">
        <w:t xml:space="preserve"> understands</w:t>
      </w:r>
      <w:r w:rsidR="00D3295B">
        <w:t xml:space="preserve"> that </w:t>
      </w:r>
      <w:r>
        <w:t xml:space="preserve">the transaction support </w:t>
      </w:r>
      <w:r w:rsidR="00D3295B">
        <w:t xml:space="preserve">for claims </w:t>
      </w:r>
      <w:r w:rsidR="009314F8">
        <w:t xml:space="preserve">or GRS </w:t>
      </w:r>
      <w:r w:rsidR="00D3295B">
        <w:t>are</w:t>
      </w:r>
      <w:r>
        <w:t xml:space="preserve"> not </w:t>
      </w:r>
      <w:r w:rsidR="00D3295B">
        <w:t xml:space="preserve">kept </w:t>
      </w:r>
      <w:r>
        <w:t xml:space="preserve">in same location as the other </w:t>
      </w:r>
      <w:r w:rsidR="00D3295B">
        <w:t>transaction</w:t>
      </w:r>
      <w:r>
        <w:t xml:space="preserve"> support due to being confidential in nature and </w:t>
      </w:r>
      <w:r w:rsidR="00D3295B">
        <w:t xml:space="preserve">being </w:t>
      </w:r>
      <w:r>
        <w:t>handled by the benefits department</w:t>
      </w:r>
      <w:r w:rsidR="005F4E55">
        <w:t xml:space="preserve">.  </w:t>
      </w:r>
      <w:r w:rsidR="001A70BB">
        <w:t xml:space="preserve">These two things affect the availability of the support and the ability for </w:t>
      </w:r>
      <w:r w:rsidR="00545E76">
        <w:t>Baker</w:t>
      </w:r>
      <w:r w:rsidR="001A70BB">
        <w:t xml:space="preserve"> </w:t>
      </w:r>
      <w:r w:rsidR="00545E76">
        <w:t>Tilly</w:t>
      </w:r>
      <w:r w:rsidR="001A70BB">
        <w:t xml:space="preserve"> to review those transactions in the sample population.</w:t>
      </w:r>
    </w:p>
    <w:p w:rsidR="007921A3" w:rsidRDefault="001A70BB" w:rsidP="007921A3">
      <w:pPr>
        <w:pStyle w:val="Double"/>
      </w:pPr>
      <w:r>
        <w:t xml:space="preserve">In addition to identifying </w:t>
      </w:r>
      <w:r w:rsidR="009314F8">
        <w:t>97</w:t>
      </w:r>
      <w:r>
        <w:t xml:space="preserve"> transactions in the outstanding sample population for the Health and Dental </w:t>
      </w:r>
      <w:r w:rsidR="00545E76">
        <w:t>Fund</w:t>
      </w:r>
      <w:r w:rsidR="009314F8">
        <w:t xml:space="preserve"> as claims or GRS</w:t>
      </w:r>
      <w:r>
        <w:t xml:space="preserve">, </w:t>
      </w:r>
      <w:r w:rsidR="00545E76">
        <w:t>Baker</w:t>
      </w:r>
      <w:r w:rsidR="007921A3">
        <w:t xml:space="preserve"> </w:t>
      </w:r>
      <w:r w:rsidR="00545E76">
        <w:t>Tilly</w:t>
      </w:r>
      <w:r w:rsidR="007921A3">
        <w:t xml:space="preserve"> was able to locate </w:t>
      </w:r>
      <w:r>
        <w:t xml:space="preserve">supporting documentation for </w:t>
      </w:r>
      <w:r w:rsidR="007921A3">
        <w:t xml:space="preserve">approximately 68 </w:t>
      </w:r>
      <w:r>
        <w:t xml:space="preserve">additional </w:t>
      </w:r>
      <w:r w:rsidR="007921A3">
        <w:t>transactions</w:t>
      </w:r>
      <w:r>
        <w:t xml:space="preserve">.  Prior to </w:t>
      </w:r>
      <w:r w:rsidR="00545E76">
        <w:t>Baker</w:t>
      </w:r>
      <w:r>
        <w:t xml:space="preserve"> </w:t>
      </w:r>
      <w:r w:rsidR="00545E76">
        <w:t>Tilly</w:t>
      </w:r>
      <w:r>
        <w:t xml:space="preserve"> being on site at HCPSS, these transactions were categorized by HCPSS as supporting documentation was not able to be located. </w:t>
      </w:r>
    </w:p>
    <w:p w:rsidR="00AC2F92" w:rsidRDefault="00AC2F92" w:rsidP="007921A3">
      <w:pPr>
        <w:pStyle w:val="Double"/>
      </w:pPr>
      <w:r>
        <w:t xml:space="preserve">Through conducting the forensic review on all of the transaction support provided for the Health and Dental Fund sample population, Baker Tilly did not see any indicators of </w:t>
      </w:r>
      <w:r w:rsidR="00B35DA5">
        <w:t xml:space="preserve">potential </w:t>
      </w:r>
      <w:r>
        <w:t xml:space="preserve">fraud or misconduct.  Baker Tilly identified inconsistent processes and procedures and areas of </w:t>
      </w:r>
      <w:r>
        <w:lastRenderedPageBreak/>
        <w:t>opportunity to improve overall management and oversight of the Health and Dental Fund by improving internal controls.</w:t>
      </w:r>
    </w:p>
    <w:p w:rsidR="00027ABC" w:rsidRDefault="00027ABC" w:rsidP="00027ABC">
      <w:pPr>
        <w:pStyle w:val="Heading3"/>
      </w:pPr>
      <w:bookmarkStart w:id="40" w:name="_Toc3477557"/>
      <w:r>
        <w:t>Grant Fund</w:t>
      </w:r>
      <w:bookmarkEnd w:id="40"/>
    </w:p>
    <w:p w:rsidR="00027ABC" w:rsidRDefault="00027ABC" w:rsidP="00027ABC">
      <w:pPr>
        <w:pStyle w:val="Double"/>
      </w:pPr>
      <w:r>
        <w:t>A forensic r</w:t>
      </w:r>
      <w:r w:rsidRPr="006C346C">
        <w:t xml:space="preserve">eview of the supporting documentation for the Grant </w:t>
      </w:r>
      <w:r>
        <w:t>Fund</w:t>
      </w:r>
      <w:r w:rsidRPr="006C346C">
        <w:t xml:space="preserve"> population could not</w:t>
      </w:r>
      <w:r>
        <w:t xml:space="preserve"> be </w:t>
      </w:r>
      <w:r w:rsidRPr="006C346C">
        <w:t xml:space="preserve">conducted.  As of </w:t>
      </w:r>
      <w:r>
        <w:t>the date of this Report</w:t>
      </w:r>
      <w:r w:rsidRPr="006C346C">
        <w:t xml:space="preserve">, </w:t>
      </w:r>
      <w:r>
        <w:t>Baker</w:t>
      </w:r>
      <w:r w:rsidRPr="006C346C">
        <w:t xml:space="preserve"> </w:t>
      </w:r>
      <w:r>
        <w:t>Tilly</w:t>
      </w:r>
      <w:r w:rsidRPr="006C346C">
        <w:t xml:space="preserve"> has not received any transaction support and the forensic review of the</w:t>
      </w:r>
      <w:r w:rsidR="00B35DA5">
        <w:t>se</w:t>
      </w:r>
      <w:r w:rsidRPr="006C346C">
        <w:t xml:space="preserve"> transactions is on hold.</w:t>
      </w:r>
    </w:p>
    <w:p w:rsidR="007D67D6" w:rsidRDefault="007D67D6" w:rsidP="000C504A">
      <w:pPr>
        <w:pStyle w:val="Double"/>
      </w:pPr>
    </w:p>
    <w:p w:rsidR="00BA3669" w:rsidRDefault="00C61D2E" w:rsidP="000C504A">
      <w:pPr>
        <w:pStyle w:val="Heading1"/>
      </w:pPr>
      <w:bookmarkStart w:id="41" w:name="_Toc3477558"/>
      <w:r>
        <w:lastRenderedPageBreak/>
        <w:t xml:space="preserve">Conclusion and </w:t>
      </w:r>
      <w:r w:rsidR="00AA65E4">
        <w:t>Recommendations</w:t>
      </w:r>
      <w:bookmarkEnd w:id="41"/>
    </w:p>
    <w:p w:rsidR="00F95BBD" w:rsidRDefault="004C3825" w:rsidP="00F95BBD">
      <w:pPr>
        <w:pStyle w:val="Double"/>
      </w:pPr>
      <w:r w:rsidRPr="004C3825">
        <w:t xml:space="preserve">Through </w:t>
      </w:r>
      <w:r w:rsidR="00545E76">
        <w:t>Baker</w:t>
      </w:r>
      <w:r w:rsidRPr="004C3825">
        <w:t xml:space="preserve"> </w:t>
      </w:r>
      <w:r w:rsidR="00545E76">
        <w:t>Tilly</w:t>
      </w:r>
      <w:r w:rsidRPr="004C3825">
        <w:t xml:space="preserve">’s testing procedures, on-site visits, and discussions with HCPSS personnel, the following are the areas of recommendation to </w:t>
      </w:r>
      <w:r w:rsidR="00B35DA5">
        <w:t>ensure funds</w:t>
      </w:r>
      <w:r w:rsidRPr="004C3825">
        <w:t xml:space="preserve"> are being used properly for the Health and Dental </w:t>
      </w:r>
      <w:r w:rsidR="00545E76">
        <w:t>Fund</w:t>
      </w:r>
      <w:r w:rsidRPr="004C3825">
        <w:t>:</w:t>
      </w:r>
    </w:p>
    <w:p w:rsidR="004C3825" w:rsidRDefault="00F95BBD" w:rsidP="00600CDC">
      <w:pPr>
        <w:pStyle w:val="NumberedParagraph"/>
        <w:numPr>
          <w:ilvl w:val="0"/>
          <w:numId w:val="26"/>
        </w:numPr>
      </w:pPr>
      <w:r>
        <w:t>A further review into the approved claim and GRS amounts through third party contracts</w:t>
      </w:r>
      <w:r w:rsidR="0084275F">
        <w:t xml:space="preserve">.  Monitoring procedures should be initiated to ensure </w:t>
      </w:r>
      <w:r>
        <w:t xml:space="preserve"> the amounts stay within the allotted budget for the fiscal year;</w:t>
      </w:r>
    </w:p>
    <w:p w:rsidR="004C3825" w:rsidRDefault="00F95BBD" w:rsidP="004C3825">
      <w:pPr>
        <w:pStyle w:val="NumberedParagraph"/>
      </w:pPr>
      <w:r>
        <w:t xml:space="preserve">A further review should be conducted into the transactions </w:t>
      </w:r>
      <w:r w:rsidR="0084275F">
        <w:t xml:space="preserve">tied to purchases </w:t>
      </w:r>
      <w:r>
        <w:t xml:space="preserve">  </w:t>
      </w:r>
      <w:r w:rsidR="0084275F">
        <w:t xml:space="preserve">of </w:t>
      </w:r>
      <w:r>
        <w:t xml:space="preserve">technology items out of the Health and Dental </w:t>
      </w:r>
      <w:r w:rsidR="00545E76">
        <w:t>Fund</w:t>
      </w:r>
      <w:r>
        <w:t xml:space="preserve">.  This review will allow for determination whether the transaction should take place under the Technology </w:t>
      </w:r>
      <w:r w:rsidR="00545E76">
        <w:t>Fund</w:t>
      </w:r>
      <w:r>
        <w:t xml:space="preserve"> instead of through the Health and Dental </w:t>
      </w:r>
      <w:r w:rsidR="00545E76">
        <w:t>Fund</w:t>
      </w:r>
      <w:r>
        <w:t>;</w:t>
      </w:r>
    </w:p>
    <w:p w:rsidR="004C3825" w:rsidRDefault="00F95BBD" w:rsidP="004C3825">
      <w:pPr>
        <w:pStyle w:val="NumberedParagraph"/>
      </w:pPr>
      <w:r>
        <w:t xml:space="preserve">Implement a process when warning messages are received </w:t>
      </w:r>
      <w:r w:rsidR="0084275F">
        <w:t xml:space="preserve">in “real time” </w:t>
      </w:r>
      <w:r>
        <w:t xml:space="preserve">while a transaction is being processed.  The warning should be brought to management’s attention before the transaction is finalized and approved to eliminate the possibility of exceeding budgeted amounts for an account during the fiscal year; </w:t>
      </w:r>
    </w:p>
    <w:p w:rsidR="004C3825" w:rsidRDefault="00F95BBD" w:rsidP="004C3825">
      <w:pPr>
        <w:pStyle w:val="NumberedParagraph"/>
      </w:pPr>
      <w:r>
        <w:t>Implement a</w:t>
      </w:r>
      <w:r w:rsidR="00226E19">
        <w:t xml:space="preserve"> defined </w:t>
      </w:r>
      <w:r>
        <w:t>process for document</w:t>
      </w:r>
      <w:r w:rsidR="00226E19">
        <w:t>ing</w:t>
      </w:r>
      <w:r>
        <w:t xml:space="preserve"> transactions that take place in the finance and accounting departments.  The procedure would </w:t>
      </w:r>
      <w:r w:rsidR="00226E19">
        <w:t xml:space="preserve">have the required </w:t>
      </w:r>
      <w:r>
        <w:t xml:space="preserve"> documentation to </w:t>
      </w:r>
      <w:r w:rsidR="00226E19">
        <w:t xml:space="preserve">properly </w:t>
      </w:r>
      <w:r>
        <w:t>validate transactions thoroughly during and after processing a payment; and</w:t>
      </w:r>
    </w:p>
    <w:p w:rsidR="00F95BBD" w:rsidRPr="00F95BBD" w:rsidRDefault="00F95BBD" w:rsidP="004C3825">
      <w:pPr>
        <w:pStyle w:val="NumberedParagraph"/>
      </w:pPr>
      <w:r>
        <w:t xml:space="preserve">Implement </w:t>
      </w:r>
      <w:r w:rsidR="00FF0E2F">
        <w:t>a transaction approval process and procedure, which outlines the requirements for support documentation, approval thresholds, and proper evidence of approval (</w:t>
      </w:r>
      <w:r w:rsidR="00FF0E2F">
        <w:rPr>
          <w:i/>
        </w:rPr>
        <w:t>e.g.,</w:t>
      </w:r>
      <w:r w:rsidR="00FF0E2F">
        <w:t xml:space="preserve"> signature of named approver(s) only)</w:t>
      </w:r>
      <w:r w:rsidR="00C361BE">
        <w:t>.</w:t>
      </w:r>
    </w:p>
    <w:p w:rsidR="00163FEF" w:rsidRPr="009D4763" w:rsidRDefault="00163FEF" w:rsidP="009D4763">
      <w:pPr>
        <w:pStyle w:val="NumberedParagraph"/>
        <w:numPr>
          <w:ilvl w:val="0"/>
          <w:numId w:val="0"/>
        </w:numPr>
        <w:spacing w:line="480" w:lineRule="auto"/>
        <w:ind w:firstLine="720"/>
        <w:rPr>
          <w:rFonts w:eastAsiaTheme="minorEastAsia" w:cs="Arial"/>
        </w:rPr>
      </w:pPr>
      <w:r w:rsidRPr="009D4763">
        <w:rPr>
          <w:rFonts w:eastAsiaTheme="minorEastAsia" w:cs="Arial"/>
        </w:rPr>
        <w:t xml:space="preserve">As </w:t>
      </w:r>
      <w:r w:rsidR="00601AE3">
        <w:rPr>
          <w:rFonts w:eastAsiaTheme="minorEastAsia" w:cs="Arial"/>
        </w:rPr>
        <w:t xml:space="preserve">stated above, as </w:t>
      </w:r>
      <w:r w:rsidRPr="009D4763">
        <w:rPr>
          <w:rFonts w:eastAsiaTheme="minorEastAsia" w:cs="Arial"/>
        </w:rPr>
        <w:t xml:space="preserve">of the date of this Report, Baker Tilly has not received any transaction support </w:t>
      </w:r>
      <w:r w:rsidR="00601AE3">
        <w:rPr>
          <w:rFonts w:eastAsiaTheme="minorEastAsia" w:cs="Arial"/>
        </w:rPr>
        <w:t xml:space="preserve">for the Grant Fund </w:t>
      </w:r>
      <w:r w:rsidRPr="009D4763">
        <w:rPr>
          <w:rFonts w:eastAsiaTheme="minorEastAsia" w:cs="Arial"/>
        </w:rPr>
        <w:t xml:space="preserve">and </w:t>
      </w:r>
      <w:r w:rsidR="00601AE3">
        <w:rPr>
          <w:rFonts w:eastAsiaTheme="minorEastAsia" w:cs="Arial"/>
        </w:rPr>
        <w:t xml:space="preserve">thus </w:t>
      </w:r>
      <w:r w:rsidRPr="009D4763">
        <w:rPr>
          <w:rFonts w:eastAsiaTheme="minorEastAsia" w:cs="Arial"/>
        </w:rPr>
        <w:t>the forensic review of these transactions is on hold</w:t>
      </w:r>
      <w:r w:rsidR="00601AE3">
        <w:rPr>
          <w:rFonts w:eastAsiaTheme="minorEastAsia" w:cs="Arial"/>
        </w:rPr>
        <w:t xml:space="preserve">, which is why there are no conclusion or </w:t>
      </w:r>
      <w:r w:rsidR="009D4763">
        <w:rPr>
          <w:rFonts w:eastAsiaTheme="minorEastAsia" w:cs="Arial"/>
        </w:rPr>
        <w:t>recommendations.</w:t>
      </w:r>
    </w:p>
    <w:p w:rsidR="00BA3669" w:rsidRPr="00266361" w:rsidRDefault="00AC2F92" w:rsidP="00266361">
      <w:pPr>
        <w:pStyle w:val="Double"/>
      </w:pPr>
      <w:r w:rsidRPr="003C6F06">
        <w:t xml:space="preserve">Baker Tilly did not identify any indication of </w:t>
      </w:r>
      <w:r w:rsidR="00B35DA5">
        <w:t xml:space="preserve">potential </w:t>
      </w:r>
      <w:r w:rsidRPr="003C6F06">
        <w:t>fraud or misconduct, but recommend</w:t>
      </w:r>
      <w:r w:rsidR="00B35DA5">
        <w:t>s</w:t>
      </w:r>
      <w:r w:rsidRPr="003C6F06">
        <w:t xml:space="preserve"> that HCPSS </w:t>
      </w:r>
      <w:r w:rsidR="00475DFB">
        <w:t xml:space="preserve">conduct a fraud risk assessment and  </w:t>
      </w:r>
      <w:r w:rsidRPr="003C6F06">
        <w:t xml:space="preserve">implement procedures and internal controls </w:t>
      </w:r>
      <w:r w:rsidR="00266361">
        <w:t xml:space="preserve">that are properly designed </w:t>
      </w:r>
      <w:r w:rsidRPr="003C6F06">
        <w:t xml:space="preserve">to </w:t>
      </w:r>
      <w:r w:rsidR="00B35DA5">
        <w:t>allow for better</w:t>
      </w:r>
      <w:r w:rsidRPr="003C6F06">
        <w:t xml:space="preserve"> manag</w:t>
      </w:r>
      <w:r w:rsidR="00B35DA5">
        <w:t xml:space="preserve">ement and oversight of the </w:t>
      </w:r>
      <w:r w:rsidR="00475DFB">
        <w:t xml:space="preserve">risks </w:t>
      </w:r>
      <w:r w:rsidR="00475DFB">
        <w:lastRenderedPageBreak/>
        <w:t xml:space="preserve">associated with the </w:t>
      </w:r>
      <w:r w:rsidR="00B35DA5">
        <w:t>Health and Dental Fund</w:t>
      </w:r>
      <w:r w:rsidR="00A9173A">
        <w:t xml:space="preserve">.  Properly designed controls will help </w:t>
      </w:r>
      <w:r w:rsidRPr="003C6F06">
        <w:t xml:space="preserve">ensure </w:t>
      </w:r>
      <w:r w:rsidR="003C6F06">
        <w:t>HCPSS</w:t>
      </w:r>
      <w:r w:rsidRPr="003C6F06">
        <w:t xml:space="preserve"> stay</w:t>
      </w:r>
      <w:r w:rsidR="003C6F06">
        <w:t>s</w:t>
      </w:r>
      <w:r w:rsidRPr="003C6F06">
        <w:t xml:space="preserve"> within budget.</w:t>
      </w:r>
    </w:p>
    <w:bookmarkEnd w:id="37"/>
    <w:bookmarkEnd w:id="38"/>
    <w:bookmarkEnd w:id="39"/>
    <w:p w:rsidR="007A5958" w:rsidRPr="00790660" w:rsidRDefault="007A5958" w:rsidP="00C61D2E">
      <w:pPr>
        <w:pStyle w:val="Heading1"/>
        <w:numPr>
          <w:ilvl w:val="0"/>
          <w:numId w:val="0"/>
        </w:numPr>
        <w:jc w:val="both"/>
      </w:pPr>
    </w:p>
    <w:p w:rsidR="00EE00AD" w:rsidRPr="00790660" w:rsidRDefault="00EE00AD" w:rsidP="009A375F">
      <w:pPr>
        <w:ind w:left="5040"/>
      </w:pPr>
      <w:r w:rsidRPr="00790660">
        <w:t>Respectfully submitted,</w:t>
      </w:r>
    </w:p>
    <w:p w:rsidR="00EE00AD" w:rsidRPr="00790660" w:rsidRDefault="00EE00AD" w:rsidP="009A375F">
      <w:pPr>
        <w:ind w:left="5040"/>
      </w:pPr>
    </w:p>
    <w:p w:rsidR="00EE00AD" w:rsidRPr="00790660" w:rsidRDefault="00EE00AD" w:rsidP="009A375F">
      <w:pPr>
        <w:ind w:left="5040"/>
      </w:pPr>
    </w:p>
    <w:p w:rsidR="00EE00AD" w:rsidRPr="00790660" w:rsidRDefault="00EE00AD" w:rsidP="009A375F">
      <w:pPr>
        <w:ind w:left="5040"/>
      </w:pPr>
    </w:p>
    <w:p w:rsidR="00EE00AD" w:rsidRPr="00790660" w:rsidRDefault="00EE00AD" w:rsidP="009A375F">
      <w:pPr>
        <w:ind w:left="5040"/>
      </w:pPr>
      <w:r w:rsidRPr="00790660">
        <w:t>_______________________</w:t>
      </w:r>
    </w:p>
    <w:p w:rsidR="004C3825" w:rsidRPr="00790660" w:rsidRDefault="004C3825" w:rsidP="004C3825">
      <w:pPr>
        <w:ind w:left="5040"/>
      </w:pPr>
      <w:r>
        <w:t>Brian P. Sanvidge</w:t>
      </w:r>
      <w:r w:rsidR="00F7051F">
        <w:t>, CIG, CFE</w:t>
      </w:r>
    </w:p>
    <w:p w:rsidR="004C3825" w:rsidRDefault="004C3825" w:rsidP="004C3825">
      <w:pPr>
        <w:tabs>
          <w:tab w:val="left" w:pos="5040"/>
        </w:tabs>
      </w:pPr>
      <w:r w:rsidRPr="00790660">
        <w:tab/>
      </w:r>
      <w:r>
        <w:t>Principal</w:t>
      </w:r>
    </w:p>
    <w:p w:rsidR="004C3825" w:rsidRPr="00790660" w:rsidRDefault="004C3825" w:rsidP="004C3825">
      <w:pPr>
        <w:tabs>
          <w:tab w:val="left" w:pos="5040"/>
        </w:tabs>
      </w:pPr>
      <w:r>
        <w:tab/>
      </w:r>
      <w:r w:rsidR="00545E76">
        <w:t>Baker</w:t>
      </w:r>
      <w:r>
        <w:t xml:space="preserve"> </w:t>
      </w:r>
      <w:r w:rsidR="00545E76">
        <w:t>Tilly</w:t>
      </w:r>
      <w:r>
        <w:t xml:space="preserve"> Virchow Krause, LLP</w:t>
      </w:r>
    </w:p>
    <w:p w:rsidR="004C3825" w:rsidRDefault="004C3825" w:rsidP="004C3825">
      <w:pPr>
        <w:tabs>
          <w:tab w:val="left" w:pos="936"/>
          <w:tab w:val="left" w:pos="5880"/>
        </w:tabs>
        <w:ind w:left="5040"/>
      </w:pPr>
      <w:r>
        <w:t>One Penn Plaza, Suite 3000</w:t>
      </w:r>
    </w:p>
    <w:p w:rsidR="004C3825" w:rsidRPr="00790660" w:rsidRDefault="004C3825" w:rsidP="004C3825">
      <w:pPr>
        <w:tabs>
          <w:tab w:val="left" w:pos="936"/>
          <w:tab w:val="left" w:pos="5880"/>
        </w:tabs>
        <w:ind w:left="5040"/>
      </w:pPr>
      <w:r>
        <w:t>New York, NY 10019</w:t>
      </w:r>
    </w:p>
    <w:p w:rsidR="004C3825" w:rsidRPr="00790660" w:rsidRDefault="004C3825" w:rsidP="004C3825">
      <w:pPr>
        <w:tabs>
          <w:tab w:val="left" w:pos="936"/>
          <w:tab w:val="left" w:pos="5880"/>
        </w:tabs>
        <w:ind w:left="5040"/>
      </w:pPr>
      <w:r>
        <w:t>212 792 4836</w:t>
      </w:r>
    </w:p>
    <w:p w:rsidR="004C3825" w:rsidRPr="00790660" w:rsidRDefault="004C3825" w:rsidP="004C3825">
      <w:pPr>
        <w:tabs>
          <w:tab w:val="left" w:pos="936"/>
          <w:tab w:val="left" w:pos="5880"/>
        </w:tabs>
        <w:ind w:left="5040"/>
      </w:pPr>
      <w:r>
        <w:t>brian.sanvidge@</w:t>
      </w:r>
      <w:r w:rsidR="00545E76">
        <w:t>BakerTilly</w:t>
      </w:r>
      <w:r>
        <w:t>.com</w:t>
      </w:r>
    </w:p>
    <w:p w:rsidR="00EE00AD" w:rsidRPr="00790660" w:rsidRDefault="00EE00AD" w:rsidP="004C3825">
      <w:pPr>
        <w:ind w:left="5040"/>
      </w:pPr>
    </w:p>
    <w:p w:rsidR="007A3325" w:rsidRPr="00790660" w:rsidRDefault="007A3325" w:rsidP="009A375F">
      <w:pPr>
        <w:pStyle w:val="Double"/>
        <w:ind w:firstLine="0"/>
      </w:pPr>
    </w:p>
    <w:sectPr w:rsidR="007A3325" w:rsidRPr="00790660" w:rsidSect="00301A7C">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F1E" w:rsidRDefault="002D7F1E" w:rsidP="00FA543F">
      <w:r>
        <w:separator/>
      </w:r>
    </w:p>
  </w:endnote>
  <w:endnote w:type="continuationSeparator" w:id="0">
    <w:p w:rsidR="002D7F1E" w:rsidRDefault="002D7F1E" w:rsidP="00FA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IIA+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90375"/>
      <w:docPartObj>
        <w:docPartGallery w:val="Page Numbers (Bottom of Page)"/>
        <w:docPartUnique/>
      </w:docPartObj>
    </w:sdtPr>
    <w:sdtEndPr>
      <w:rPr>
        <w:noProof/>
      </w:rPr>
    </w:sdtEndPr>
    <w:sdtContent>
      <w:p w:rsidR="00E11F10" w:rsidRPr="00C37D1E" w:rsidRDefault="00E11F10" w:rsidP="0049766C">
        <w:pPr>
          <w:pStyle w:val="Footer"/>
          <w:jc w:val="center"/>
        </w:pPr>
        <w:r>
          <w:rPr>
            <w:noProof/>
            <w:sz w:val="20"/>
            <w:szCs w:val="20"/>
          </w:rPr>
          <mc:AlternateContent>
            <mc:Choice Requires="wps">
              <w:drawing>
                <wp:anchor distT="0" distB="0" distL="114300" distR="114300" simplePos="0" relativeHeight="251662336" behindDoc="0" locked="0" layoutInCell="1" allowOverlap="1" wp14:anchorId="06B25467" wp14:editId="025C94EA">
                  <wp:simplePos x="0" y="0"/>
                  <wp:positionH relativeFrom="column">
                    <wp:posOffset>-30480</wp:posOffset>
                  </wp:positionH>
                  <wp:positionV relativeFrom="paragraph">
                    <wp:posOffset>-137160</wp:posOffset>
                  </wp:positionV>
                  <wp:extent cx="60045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600456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AC23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pt,-10.8pt" to="470.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RK0QEAAAMEAAAOAAAAZHJzL2Uyb0RvYy54bWysU02L2zAQvRf6H4TujZ2Qhm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" strokecolor="#717169 [3215]"/>
              </w:pict>
            </mc:Fallback>
          </mc:AlternateContent>
        </w:r>
        <w:r w:rsidRPr="00C37D1E">
          <w:fldChar w:fldCharType="begin"/>
        </w:r>
        <w:r w:rsidRPr="00C37D1E">
          <w:instrText xml:space="preserve"> PAGE   \* MERGEFORMAT </w:instrText>
        </w:r>
        <w:r w:rsidRPr="00C37D1E">
          <w:fldChar w:fldCharType="separate"/>
        </w:r>
        <w:r>
          <w:rPr>
            <w:noProof/>
          </w:rPr>
          <w:t>ii</w:t>
        </w:r>
        <w:r w:rsidRPr="00C37D1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805103"/>
      <w:docPartObj>
        <w:docPartGallery w:val="Page Numbers (Bottom of Page)"/>
        <w:docPartUnique/>
      </w:docPartObj>
    </w:sdtPr>
    <w:sdtEndPr>
      <w:rPr>
        <w:noProof/>
      </w:rPr>
    </w:sdtEndPr>
    <w:sdtContent>
      <w:p w:rsidR="00E11F10" w:rsidRPr="00C37D1E" w:rsidRDefault="00E11F10" w:rsidP="0049766C">
        <w:pPr>
          <w:pStyle w:val="Footer"/>
          <w:jc w:val="center"/>
        </w:pPr>
        <w:r>
          <w:rPr>
            <w:noProof/>
            <w:sz w:val="20"/>
            <w:szCs w:val="20"/>
          </w:rPr>
          <mc:AlternateContent>
            <mc:Choice Requires="wps">
              <w:drawing>
                <wp:anchor distT="0" distB="0" distL="114300" distR="114300" simplePos="0" relativeHeight="251694080" behindDoc="0" locked="0" layoutInCell="1" allowOverlap="1" wp14:anchorId="70882D87" wp14:editId="334785B6">
                  <wp:simplePos x="0" y="0"/>
                  <wp:positionH relativeFrom="column">
                    <wp:posOffset>-30480</wp:posOffset>
                  </wp:positionH>
                  <wp:positionV relativeFrom="paragraph">
                    <wp:posOffset>-137160</wp:posOffset>
                  </wp:positionV>
                  <wp:extent cx="60045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600456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AD29D" id="Straight Connector 1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4pt,-10.8pt" to="470.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" strokecolor="#717169 [3215]"/>
              </w:pict>
            </mc:Fallback>
          </mc:AlternateContent>
        </w:r>
        <w:r w:rsidRPr="00C37D1E">
          <w:fldChar w:fldCharType="begin"/>
        </w:r>
        <w:r w:rsidRPr="00C37D1E">
          <w:instrText xml:space="preserve"> PAGE   \* MERGEFORMAT </w:instrText>
        </w:r>
        <w:r w:rsidRPr="00C37D1E">
          <w:fldChar w:fldCharType="separate"/>
        </w:r>
        <w:r w:rsidR="004311CA">
          <w:rPr>
            <w:noProof/>
          </w:rPr>
          <w:t>17</w:t>
        </w:r>
        <w:r w:rsidRPr="00C37D1E">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058659"/>
      <w:docPartObj>
        <w:docPartGallery w:val="Page Numbers (Bottom of Page)"/>
        <w:docPartUnique/>
      </w:docPartObj>
    </w:sdtPr>
    <w:sdtEndPr>
      <w:rPr>
        <w:noProof/>
      </w:rPr>
    </w:sdtEndPr>
    <w:sdtContent>
      <w:p w:rsidR="00E11F10" w:rsidRPr="00C37D1E" w:rsidRDefault="00E11F10" w:rsidP="007263E8">
        <w:pPr>
          <w:pStyle w:val="Footer"/>
          <w:jc w:val="center"/>
        </w:pPr>
        <w:r>
          <w:rPr>
            <w:noProof/>
            <w:sz w:val="20"/>
            <w:szCs w:val="20"/>
          </w:rPr>
          <mc:AlternateContent>
            <mc:Choice Requires="wps">
              <w:drawing>
                <wp:anchor distT="0" distB="0" distL="114300" distR="114300" simplePos="0" relativeHeight="251700224" behindDoc="0" locked="0" layoutInCell="1" allowOverlap="1" wp14:anchorId="5732C9BF" wp14:editId="52729AD9">
                  <wp:simplePos x="0" y="0"/>
                  <wp:positionH relativeFrom="column">
                    <wp:posOffset>-30480</wp:posOffset>
                  </wp:positionH>
                  <wp:positionV relativeFrom="paragraph">
                    <wp:posOffset>-137160</wp:posOffset>
                  </wp:positionV>
                  <wp:extent cx="60045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600456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335B8" id="Straight Connector 1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pt,-10.8pt" to="470.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" strokecolor="#717169 [3215]"/>
              </w:pict>
            </mc:Fallback>
          </mc:AlternateContent>
        </w:r>
      </w:p>
    </w:sdtContent>
  </w:sdt>
  <w:p w:rsidR="00E11F10" w:rsidRDefault="00E11F10" w:rsidP="007263E8">
    <w:pPr>
      <w:pStyle w:val="Footer"/>
    </w:pPr>
    <w:r>
      <w:rPr>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F1E" w:rsidRDefault="002D7F1E" w:rsidP="00FA543F">
      <w:r>
        <w:separator/>
      </w:r>
    </w:p>
  </w:footnote>
  <w:footnote w:type="continuationSeparator" w:id="0">
    <w:p w:rsidR="002D7F1E" w:rsidRDefault="002D7F1E" w:rsidP="00FA543F">
      <w:r>
        <w:continuationSeparator/>
      </w:r>
    </w:p>
  </w:footnote>
  <w:footnote w:id="1">
    <w:p w:rsidR="00E11F10" w:rsidRDefault="00E11F10">
      <w:pPr>
        <w:pStyle w:val="FootnoteText"/>
      </w:pPr>
      <w:r>
        <w:rPr>
          <w:rStyle w:val="FootnoteReference"/>
        </w:rPr>
        <w:footnoteRef/>
      </w:r>
      <w:r>
        <w:t xml:space="preserve"> Association of Inspectors General Principles and Standards for Offices of Inspector General dated May 2014, http://inspectorsgeneral.org/files/2014/AIG-Principles-and-Standards-May-2014-Revision-2.pdf</w:t>
      </w:r>
    </w:p>
  </w:footnote>
  <w:footnote w:id="2">
    <w:p w:rsidR="00E11F10" w:rsidRDefault="00E11F10">
      <w:pPr>
        <w:pStyle w:val="FootnoteText"/>
      </w:pPr>
      <w:r>
        <w:rPr>
          <w:rStyle w:val="FootnoteReference"/>
        </w:rPr>
        <w:footnoteRef/>
      </w:r>
      <w:r>
        <w:t xml:space="preserve"> American Institute of Certified Public Accountants AU-00110 Responsibilities and Functions of the Independent Auditor dated Nov. 1972, </w:t>
      </w:r>
      <w:r w:rsidRPr="009645EE">
        <w:t>https://www.aicpa.org/Research/Standards/Audit</w:t>
      </w:r>
      <w:r>
        <w:t>Attest/DownloadableDocuments/AU-</w:t>
      </w:r>
      <w:r w:rsidRPr="009645EE">
        <w:t>00110.pdf,</w:t>
      </w:r>
      <w:r>
        <w:t> at 1.</w:t>
      </w:r>
    </w:p>
  </w:footnote>
  <w:footnote w:id="3">
    <w:p w:rsidR="00E11F10" w:rsidRDefault="00E11F10" w:rsidP="006E4BFA">
      <w:pPr>
        <w:pStyle w:val="FootnoteText"/>
      </w:pPr>
      <w:r>
        <w:rPr>
          <w:rStyle w:val="FootnoteReference"/>
        </w:rPr>
        <w:footnoteRef/>
      </w:r>
      <w:r>
        <w:t xml:space="preserve"> </w:t>
      </w:r>
      <w:r>
        <w:rPr>
          <w:i/>
        </w:rPr>
        <w:t xml:space="preserve">See </w:t>
      </w:r>
      <w:r>
        <w:t>Exhibit 2.  American Institute of Certified Public Accountants Forensic &amp; Valuation Services Practice Aid: Forensic Accounting – Fraud Investigations dated 2014, a</w:t>
      </w:r>
      <w:r w:rsidRPr="00626652">
        <w:t xml:space="preserve">t </w:t>
      </w:r>
      <w:r w:rsidRPr="007E35E1">
        <w:t>17</w:t>
      </w:r>
      <w:r>
        <w:t>.</w:t>
      </w:r>
    </w:p>
  </w:footnote>
  <w:footnote w:id="4">
    <w:p w:rsidR="00E11F10" w:rsidRDefault="00E11F10" w:rsidP="006E4BFA">
      <w:pPr>
        <w:pStyle w:val="FootnoteText"/>
      </w:pPr>
      <w:r>
        <w:rPr>
          <w:rStyle w:val="FootnoteReference"/>
        </w:rPr>
        <w:footnoteRef/>
      </w:r>
      <w:r>
        <w:t xml:space="preserve"> </w:t>
      </w:r>
      <w:r w:rsidRPr="00275889">
        <w:t>See</w:t>
      </w:r>
      <w:r>
        <w:t xml:space="preserve"> Exhibit 2.  </w:t>
      </w:r>
      <w:r w:rsidRPr="00C942A2">
        <w:t>American</w:t>
      </w:r>
      <w:r>
        <w:t xml:space="preserve"> Institute of Certified Public Accountants Forensic &amp; Valuation Services Practice Aid: Forensic Accounting – Fraud Investigations dated 2014</w:t>
      </w:r>
      <w:r w:rsidRPr="00557950">
        <w:t xml:space="preserve">, at </w:t>
      </w:r>
      <w:r w:rsidRPr="007E35E1">
        <w:t>28</w:t>
      </w:r>
      <w:r>
        <w:t>.</w:t>
      </w:r>
    </w:p>
  </w:footnote>
  <w:footnote w:id="5">
    <w:p w:rsidR="00E11F10" w:rsidRDefault="00E11F10">
      <w:pPr>
        <w:pStyle w:val="FootnoteText"/>
      </w:pPr>
      <w:r>
        <w:rPr>
          <w:rStyle w:val="FootnoteReference"/>
        </w:rPr>
        <w:footnoteRef/>
      </w:r>
      <w:r>
        <w:t xml:space="preserve"> ACFE Code of Professional Standards, as of Dec. 17, 2018, </w:t>
      </w:r>
      <w:r w:rsidRPr="00056269">
        <w:t>https://www.acfe.com/standards.aspx</w:t>
      </w:r>
      <w:r>
        <w:t>, at 4.</w:t>
      </w:r>
    </w:p>
  </w:footnote>
  <w:footnote w:id="6">
    <w:p w:rsidR="00E11F10" w:rsidRDefault="00E11F10">
      <w:pPr>
        <w:pStyle w:val="FootnoteText"/>
      </w:pPr>
      <w:r>
        <w:rPr>
          <w:rStyle w:val="FootnoteReference"/>
        </w:rPr>
        <w:footnoteRef/>
      </w:r>
      <w:r>
        <w:t xml:space="preserve"> HCPSS – Schools, </w:t>
      </w:r>
      <w:r w:rsidRPr="003E7E8B">
        <w:t>https://www.hcpss.org/schools/#direct.html</w:t>
      </w:r>
      <w:r>
        <w:t xml:space="preserve"> last visited Mar. 7, 2019.</w:t>
      </w:r>
    </w:p>
  </w:footnote>
  <w:footnote w:id="7">
    <w:p w:rsidR="00E11F10" w:rsidRDefault="00E11F10" w:rsidP="00192F23">
      <w:pPr>
        <w:pStyle w:val="FootnoteText"/>
      </w:pPr>
      <w:r>
        <w:rPr>
          <w:rStyle w:val="FootnoteReference"/>
        </w:rPr>
        <w:footnoteRef/>
      </w:r>
      <w:r>
        <w:t xml:space="preserve"> HCPSS 2017 Approved Operating Budget dated Jun. 2016, at 8.</w:t>
      </w:r>
    </w:p>
  </w:footnote>
  <w:footnote w:id="8">
    <w:p w:rsidR="00E11F10" w:rsidRDefault="00E11F10">
      <w:pPr>
        <w:pStyle w:val="FootnoteText"/>
      </w:pPr>
      <w:r>
        <w:rPr>
          <w:rStyle w:val="FootnoteReference"/>
        </w:rPr>
        <w:footnoteRef/>
      </w:r>
      <w:r>
        <w:t xml:space="preserve"> </w:t>
      </w:r>
      <w:r>
        <w:rPr>
          <w:i/>
        </w:rPr>
        <w:t>Id.</w:t>
      </w:r>
      <w:r>
        <w:t xml:space="preserve"> at 19. </w:t>
      </w:r>
    </w:p>
  </w:footnote>
  <w:footnote w:id="9">
    <w:p w:rsidR="00E11F10" w:rsidRDefault="00E11F10" w:rsidP="00471B42">
      <w:pPr>
        <w:pStyle w:val="FootnoteText"/>
      </w:pPr>
      <w:r>
        <w:rPr>
          <w:rStyle w:val="FootnoteReference"/>
        </w:rPr>
        <w:footnoteRef/>
      </w:r>
      <w:r>
        <w:t xml:space="preserve"> </w:t>
      </w:r>
      <w:r>
        <w:rPr>
          <w:i/>
        </w:rPr>
        <w:t>Id.</w:t>
      </w:r>
      <w:r>
        <w:t xml:space="preserve"> at 511.</w:t>
      </w:r>
    </w:p>
  </w:footnote>
  <w:footnote w:id="10">
    <w:p w:rsidR="00E11F10" w:rsidRDefault="00E11F10" w:rsidP="00AF7BA2">
      <w:pPr>
        <w:pStyle w:val="FootnoteText"/>
      </w:pPr>
      <w:r>
        <w:rPr>
          <w:rStyle w:val="FootnoteReference"/>
        </w:rPr>
        <w:footnoteRef/>
      </w:r>
      <w:r>
        <w:t xml:space="preserve"> </w:t>
      </w:r>
      <w:r>
        <w:rPr>
          <w:i/>
        </w:rPr>
        <w:t>Id.</w:t>
      </w:r>
      <w:r>
        <w:t xml:space="preserve"> at 19.</w:t>
      </w:r>
    </w:p>
  </w:footnote>
  <w:footnote w:id="11">
    <w:p w:rsidR="00E11F10" w:rsidRDefault="00E11F10">
      <w:pPr>
        <w:pStyle w:val="FootnoteText"/>
      </w:pPr>
      <w:r>
        <w:rPr>
          <w:rStyle w:val="FootnoteReference"/>
        </w:rPr>
        <w:footnoteRef/>
      </w:r>
      <w:r>
        <w:t xml:space="preserve"> </w:t>
      </w:r>
      <w:r>
        <w:rPr>
          <w:i/>
        </w:rPr>
        <w:t>Id.</w:t>
      </w:r>
      <w:r>
        <w:t xml:space="preserve"> at 19.</w:t>
      </w:r>
    </w:p>
  </w:footnote>
  <w:footnote w:id="12">
    <w:p w:rsidR="00E11F10" w:rsidRPr="001724D1" w:rsidRDefault="00E11F10">
      <w:pPr>
        <w:pStyle w:val="FootnoteText"/>
      </w:pPr>
      <w:r>
        <w:rPr>
          <w:rStyle w:val="FootnoteReference"/>
        </w:rPr>
        <w:footnoteRef/>
      </w:r>
      <w:r>
        <w:t xml:space="preserve">  </w:t>
      </w:r>
      <w:r>
        <w:rPr>
          <w:i/>
        </w:rPr>
        <w:t>Id</w:t>
      </w:r>
      <w:r>
        <w:t xml:space="preserve"> at 598.</w:t>
      </w:r>
    </w:p>
  </w:footnote>
  <w:footnote w:id="13">
    <w:p w:rsidR="00E11F10" w:rsidRDefault="00E11F10">
      <w:pPr>
        <w:pStyle w:val="FootnoteText"/>
      </w:pPr>
      <w:r>
        <w:rPr>
          <w:rStyle w:val="FootnoteReference"/>
        </w:rPr>
        <w:footnoteRef/>
      </w:r>
      <w:r>
        <w:t xml:space="preserve"> </w:t>
      </w:r>
      <w:r>
        <w:rPr>
          <w:i/>
        </w:rPr>
        <w:t>Id.</w:t>
      </w:r>
      <w:r>
        <w:t xml:space="preserve"> at 601.</w:t>
      </w:r>
    </w:p>
  </w:footnote>
  <w:footnote w:id="14">
    <w:p w:rsidR="00E11F10" w:rsidRDefault="00E11F10" w:rsidP="002319E4">
      <w:pPr>
        <w:pStyle w:val="FootnoteText"/>
      </w:pPr>
      <w:r>
        <w:rPr>
          <w:rStyle w:val="FootnoteReference"/>
        </w:rPr>
        <w:footnoteRef/>
      </w:r>
      <w:r>
        <w:t xml:space="preserve"> Agreement between the Board of Education of Howard County and Baker Tilly dated Dec. 19, 2017, at 1.</w:t>
      </w:r>
    </w:p>
  </w:footnote>
  <w:footnote w:id="15">
    <w:p w:rsidR="00E11F10" w:rsidRDefault="00E11F10" w:rsidP="002319E4">
      <w:pPr>
        <w:pStyle w:val="FootnoteText"/>
      </w:pPr>
      <w:r>
        <w:rPr>
          <w:rStyle w:val="FootnoteReference"/>
        </w:rPr>
        <w:footnoteRef/>
      </w:r>
      <w:r>
        <w:t xml:space="preserve"> HCPSS 2017 Approved Operating Budget dated Jun. 2016, at 512.</w:t>
      </w:r>
    </w:p>
  </w:footnote>
  <w:footnote w:id="16">
    <w:p w:rsidR="00AB78E2" w:rsidRDefault="00AB78E2">
      <w:pPr>
        <w:pStyle w:val="FootnoteText"/>
      </w:pPr>
      <w:r>
        <w:rPr>
          <w:rStyle w:val="FootnoteReference"/>
        </w:rPr>
        <w:footnoteRef/>
      </w:r>
      <w:r>
        <w:t xml:space="preserve"> Baker Tilly did not co</w:t>
      </w:r>
      <w:r w:rsidR="00B82B81">
        <w:t>nduct a detailed review or analysis of</w:t>
      </w:r>
      <w:r>
        <w:t xml:space="preserve"> the </w:t>
      </w:r>
      <w:r w:rsidR="00B82B81">
        <w:t>actuarial calculations, projections, or assumptions.  The review was for informative and comparative purposes only of budget to actual numbers.</w:t>
      </w:r>
    </w:p>
  </w:footnote>
  <w:footnote w:id="17">
    <w:p w:rsidR="00E11F10" w:rsidRDefault="00E11F10" w:rsidP="00E45ABB">
      <w:pPr>
        <w:pStyle w:val="FootnoteText"/>
      </w:pPr>
      <w:r>
        <w:rPr>
          <w:rStyle w:val="FootnoteReference"/>
        </w:rPr>
        <w:footnoteRef/>
      </w:r>
      <w:r>
        <w:t xml:space="preserve"> </w:t>
      </w:r>
      <w:r w:rsidRPr="00363D34">
        <w:t>GRS is understood to relate to the benefits department and is believed to stand for Group Retirement Savings.</w:t>
      </w:r>
    </w:p>
  </w:footnote>
  <w:footnote w:id="18">
    <w:p w:rsidR="00E11F10" w:rsidRDefault="00E11F10" w:rsidP="00574208">
      <w:pPr>
        <w:pStyle w:val="FootnoteText"/>
      </w:pPr>
      <w:r>
        <w:rPr>
          <w:rStyle w:val="FootnoteReference"/>
        </w:rPr>
        <w:footnoteRef/>
      </w:r>
      <w:r>
        <w:t xml:space="preserve"> Site visit extended to include being on site at HCPSS through October 31, 2018 due to additional reviews needing to be completed.</w:t>
      </w:r>
    </w:p>
  </w:footnote>
  <w:footnote w:id="19">
    <w:p w:rsidR="00E11F10" w:rsidRDefault="00E11F10" w:rsidP="005F693A">
      <w:pPr>
        <w:pStyle w:val="FootnoteText"/>
      </w:pPr>
      <w:r>
        <w:rPr>
          <w:rStyle w:val="FootnoteReference"/>
        </w:rPr>
        <w:footnoteRef/>
      </w:r>
      <w:r>
        <w:t xml:space="preserve"> For details regarding the support identified during the onsite visit, please see section IV.D. of this Report.</w:t>
      </w:r>
    </w:p>
  </w:footnote>
  <w:footnote w:id="20">
    <w:p w:rsidR="00E11F10" w:rsidRDefault="00E11F10">
      <w:pPr>
        <w:pStyle w:val="FootnoteText"/>
      </w:pPr>
      <w:r>
        <w:rPr>
          <w:rStyle w:val="FootnoteReference"/>
        </w:rPr>
        <w:footnoteRef/>
      </w:r>
      <w:r>
        <w:t xml:space="preserve"> Iron Mountain is the company hired by HCPSS’s that provides storage for historical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10" w:rsidRDefault="004311CA">
    <w:pPr>
      <w:pStyle w:val="Header"/>
    </w:pPr>
    <w:r>
      <w:rPr>
        <w:noProof/>
      </w:rPr>
      <w:pict w14:anchorId="6150D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9743" o:spid="_x0000_s2050" type="#_x0000_t136" style="position:absolute;left:0;text-align:left;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10" w:rsidRDefault="004311CA">
    <w:pPr>
      <w:pStyle w:val="Header"/>
    </w:pPr>
    <w:r>
      <w:rPr>
        <w:noProof/>
      </w:rPr>
      <w:pict w14:anchorId="76647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9744" o:spid="_x0000_s2051" type="#_x0000_t136" style="position:absolute;left:0;text-align:left;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10" w:rsidRDefault="004311CA">
    <w:pPr>
      <w:pStyle w:val="Header"/>
    </w:pPr>
    <w:r>
      <w:rPr>
        <w:noProof/>
      </w:rPr>
      <w:pict w14:anchorId="34C98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9742" o:spid="_x0000_s2049"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10" w:rsidRDefault="004311CA">
    <w:pPr>
      <w:pStyle w:val="Header"/>
    </w:pPr>
    <w:r>
      <w:rPr>
        <w:noProof/>
      </w:rPr>
      <w:pict w14:anchorId="33A26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9749" o:spid="_x0000_s2056" type="#_x0000_t136" style="position:absolute;left:0;text-align:left;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10" w:rsidRDefault="00E11F10" w:rsidP="001F4CD5">
    <w:pPr>
      <w:pStyle w:val="Header"/>
      <w:rPr>
        <w:noProof/>
      </w:rPr>
    </w:pPr>
    <w:r>
      <w:rPr>
        <w:noProof/>
      </w:rPr>
      <w:t>CONFIDENTIAL</w:t>
    </w:r>
  </w:p>
  <w:p w:rsidR="00E11F10" w:rsidRDefault="00E11F10" w:rsidP="007F597E">
    <w:pPr>
      <w:pStyle w:val="Header"/>
      <w:rPr>
        <w:noProof/>
      </w:rPr>
    </w:pPr>
    <w:r>
      <w:rPr>
        <w:noProof/>
      </w:rPr>
      <w:t>Report of Forensic Review to the Howard County Public School System</w:t>
    </w:r>
  </w:p>
  <w:p w:rsidR="00E11F10" w:rsidRDefault="00E11F10" w:rsidP="007F597E">
    <w:pPr>
      <w:pStyle w:val="Header"/>
      <w:rPr>
        <w:sz w:val="20"/>
        <w:szCs w:val="20"/>
      </w:rPr>
    </w:pPr>
    <w:r w:rsidRPr="00D3406A">
      <w:rPr>
        <w:noProof/>
      </w:rPr>
      <w:t xml:space="preserve">March </w:t>
    </w:r>
    <w:r>
      <w:rPr>
        <w:noProof/>
      </w:rPr>
      <w:t>14, 2019</w:t>
    </w:r>
  </w:p>
  <w:p w:rsidR="00E11F10" w:rsidRPr="007263E8" w:rsidRDefault="00E11F10">
    <w:pPr>
      <w:pStyle w:val="Header"/>
      <w:rPr>
        <w:sz w:val="20"/>
        <w:szCs w:val="20"/>
      </w:rPr>
    </w:pPr>
    <w:r>
      <w:rPr>
        <w:noProof/>
        <w:sz w:val="20"/>
        <w:szCs w:val="20"/>
      </w:rPr>
      <mc:AlternateContent>
        <mc:Choice Requires="wps">
          <w:drawing>
            <wp:anchor distT="0" distB="0" distL="114300" distR="114300" simplePos="0" relativeHeight="251698176" behindDoc="0" locked="0" layoutInCell="1" allowOverlap="1" wp14:anchorId="77934C69" wp14:editId="68E74264">
              <wp:simplePos x="0" y="0"/>
              <wp:positionH relativeFrom="column">
                <wp:posOffset>8546</wp:posOffset>
              </wp:positionH>
              <wp:positionV relativeFrom="paragraph">
                <wp:posOffset>70325</wp:posOffset>
              </wp:positionV>
              <wp:extent cx="5956418"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5956418"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2B562" id="Straight Connector 1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5pt,5.55pt" to="469.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" strokecolor="#717169 [3215]"/>
          </w:pict>
        </mc:Fallback>
      </mc:AlternateContent>
    </w:r>
    <w:r w:rsidR="004311CA">
      <w:rPr>
        <w:noProof/>
      </w:rPr>
      <w:pict w14:anchorId="0AEAE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9750" o:spid="_x0000_s2057" type="#_x0000_t136" style="position:absolute;left:0;text-align:left;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10" w:rsidRDefault="00E11F10" w:rsidP="007263E8">
    <w:pPr>
      <w:pStyle w:val="Header"/>
      <w:rPr>
        <w:noProof/>
      </w:rPr>
    </w:pPr>
    <w:r>
      <w:rPr>
        <w:noProof/>
      </w:rPr>
      <w:t>CONFIDENTIAL</w:t>
    </w:r>
  </w:p>
  <w:p w:rsidR="00E11F10" w:rsidRDefault="00E11F10" w:rsidP="007263E8">
    <w:pPr>
      <w:pStyle w:val="Header"/>
      <w:rPr>
        <w:noProof/>
      </w:rPr>
    </w:pPr>
    <w:r>
      <w:rPr>
        <w:noProof/>
      </w:rPr>
      <w:t>Report of Forensic Review to the Howard County Public School System</w:t>
    </w:r>
  </w:p>
  <w:p w:rsidR="00E11F10" w:rsidRDefault="00E11F10" w:rsidP="007263E8">
    <w:pPr>
      <w:pStyle w:val="Header"/>
      <w:rPr>
        <w:sz w:val="20"/>
        <w:szCs w:val="20"/>
      </w:rPr>
    </w:pPr>
    <w:r w:rsidRPr="00D3406A">
      <w:rPr>
        <w:noProof/>
      </w:rPr>
      <w:t xml:space="preserve">March </w:t>
    </w:r>
    <w:r>
      <w:rPr>
        <w:noProof/>
      </w:rPr>
      <w:t>14, 2019</w:t>
    </w:r>
  </w:p>
  <w:p w:rsidR="00E11F10" w:rsidRPr="007263E8" w:rsidRDefault="00E11F10">
    <w:pPr>
      <w:pStyle w:val="Header"/>
      <w:rPr>
        <w:sz w:val="20"/>
        <w:szCs w:val="20"/>
      </w:rPr>
    </w:pPr>
    <w:r>
      <w:rPr>
        <w:noProof/>
        <w:sz w:val="20"/>
        <w:szCs w:val="20"/>
      </w:rPr>
      <mc:AlternateContent>
        <mc:Choice Requires="wps">
          <w:drawing>
            <wp:anchor distT="0" distB="0" distL="114300" distR="114300" simplePos="0" relativeHeight="251696128" behindDoc="0" locked="0" layoutInCell="1" allowOverlap="1" wp14:anchorId="59E15FB9" wp14:editId="3622166C">
              <wp:simplePos x="0" y="0"/>
              <wp:positionH relativeFrom="column">
                <wp:posOffset>8546</wp:posOffset>
              </wp:positionH>
              <wp:positionV relativeFrom="paragraph">
                <wp:posOffset>70325</wp:posOffset>
              </wp:positionV>
              <wp:extent cx="5956418"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5956418"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C5877" id="Straight Connector 1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5pt,5.55pt" to="469.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" strokecolor="#717169 [3215]"/>
          </w:pict>
        </mc:Fallback>
      </mc:AlternateContent>
    </w:r>
    <w:r w:rsidR="004311CA">
      <w:rPr>
        <w:noProof/>
      </w:rPr>
      <w:pict w14:anchorId="54C2F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9748" o:spid="_x0000_s2055"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F47"/>
    <w:multiLevelType w:val="multilevel"/>
    <w:tmpl w:val="98EC03EC"/>
    <w:lvl w:ilvl="0">
      <w:start w:val="1"/>
      <w:numFmt w:val="upperRoman"/>
      <w:pStyle w:val="Heading1"/>
      <w:lvlText w:val="%1."/>
      <w:lvlJc w:val="center"/>
      <w:pPr>
        <w:tabs>
          <w:tab w:val="num" w:pos="0"/>
        </w:tabs>
        <w:ind w:left="0" w:firstLine="0"/>
      </w:pPr>
      <w:rPr>
        <w:rFonts w:ascii="Times New Roman Bold" w:hAnsi="Times New Roman Bold"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720"/>
        </w:tabs>
        <w:ind w:left="1440" w:hanging="720"/>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440"/>
        </w:tabs>
        <w:ind w:left="2160" w:hanging="720"/>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2250"/>
        </w:tabs>
        <w:ind w:left="2970" w:hanging="720"/>
      </w:pPr>
      <w:rPr>
        <w:rFonts w:ascii="Times New Roman Bold" w:hAnsi="Times New Roman Bold"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2880"/>
        </w:tabs>
        <w:ind w:left="3600" w:hanging="720"/>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690"/>
        </w:tabs>
        <w:ind w:left="441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320"/>
        </w:tabs>
        <w:ind w:left="50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5040"/>
        </w:tabs>
        <w:ind w:left="57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F3B6DC3"/>
    <w:multiLevelType w:val="hybridMultilevel"/>
    <w:tmpl w:val="5170A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75894"/>
    <w:multiLevelType w:val="hybridMultilevel"/>
    <w:tmpl w:val="B09017DC"/>
    <w:lvl w:ilvl="0" w:tplc="FFFFFFFF">
      <w:start w:val="1"/>
      <w:numFmt w:val="bullet"/>
      <w:pStyle w:val="ReportBullet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B92D65"/>
    <w:multiLevelType w:val="hybridMultilevel"/>
    <w:tmpl w:val="8BFEF048"/>
    <w:lvl w:ilvl="0" w:tplc="87E2485E">
      <w:start w:val="1"/>
      <w:numFmt w:val="decimal"/>
      <w:pStyle w:val="FigureHeader"/>
      <w:lvlText w:val="Figure %1."/>
      <w:lvlJc w:val="left"/>
      <w:pPr>
        <w:ind w:left="360" w:hanging="360"/>
      </w:pPr>
      <w:rPr>
        <w:rFonts w:hint="default"/>
        <w:b/>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13D5329"/>
    <w:multiLevelType w:val="hybridMultilevel"/>
    <w:tmpl w:val="9D880A7A"/>
    <w:lvl w:ilvl="0" w:tplc="D4D0CA3A">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C7EDA"/>
    <w:multiLevelType w:val="hybridMultilevel"/>
    <w:tmpl w:val="FA841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D23FDB"/>
    <w:multiLevelType w:val="hybridMultilevel"/>
    <w:tmpl w:val="B05414AC"/>
    <w:lvl w:ilvl="0" w:tplc="7A186D9A">
      <w:start w:val="1"/>
      <w:numFmt w:val="decimal"/>
      <w:pStyle w:val="NumberedParagraph"/>
      <w:lvlText w:val="%1."/>
      <w:lvlJc w:val="left"/>
      <w:pPr>
        <w:ind w:left="108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52BFD"/>
    <w:multiLevelType w:val="hybridMultilevel"/>
    <w:tmpl w:val="668A2CE0"/>
    <w:lvl w:ilvl="0" w:tplc="6338B7D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C4698"/>
    <w:multiLevelType w:val="hybridMultilevel"/>
    <w:tmpl w:val="4C864A4E"/>
    <w:lvl w:ilvl="0" w:tplc="0409000F">
      <w:start w:val="1"/>
      <w:numFmt w:val="decimal"/>
      <w:lvlText w:val="%1."/>
      <w:lvlJc w:val="left"/>
      <w:pPr>
        <w:ind w:left="360" w:hanging="360"/>
      </w:pPr>
    </w:lvl>
    <w:lvl w:ilvl="1" w:tplc="269EE8F8">
      <w:numFmt w:val="bullet"/>
      <w:lvlText w:val="•"/>
      <w:lvlJc w:val="left"/>
      <w:pPr>
        <w:ind w:left="1440" w:hanging="720"/>
      </w:pPr>
      <w:rPr>
        <w:rFonts w:ascii="Times New Roman" w:eastAsiaTheme="minorEastAsia"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027EAF"/>
    <w:multiLevelType w:val="hybridMultilevel"/>
    <w:tmpl w:val="C1DA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24D64"/>
    <w:multiLevelType w:val="hybridMultilevel"/>
    <w:tmpl w:val="83AE3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0F5288C"/>
    <w:multiLevelType w:val="hybridMultilevel"/>
    <w:tmpl w:val="8FC63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307FEE"/>
    <w:multiLevelType w:val="hybridMultilevel"/>
    <w:tmpl w:val="3AE0F748"/>
    <w:lvl w:ilvl="0" w:tplc="6338B7D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16814"/>
    <w:multiLevelType w:val="hybridMultilevel"/>
    <w:tmpl w:val="7D9E8D32"/>
    <w:lvl w:ilvl="0" w:tplc="A1D61242">
      <w:start w:val="1"/>
      <w:numFmt w:val="bullet"/>
      <w:lvlText w:val=""/>
      <w:lvlJc w:val="left"/>
      <w:pPr>
        <w:ind w:left="108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pStyle w:val="Heading9"/>
      <w:lvlText w:val="%9."/>
      <w:lvlJc w:val="right"/>
      <w:pPr>
        <w:ind w:left="7200" w:hanging="180"/>
      </w:pPr>
    </w:lvl>
  </w:abstractNum>
  <w:abstractNum w:abstractNumId="14" w15:restartNumberingAfterBreak="0">
    <w:nsid w:val="42CD6EF4"/>
    <w:multiLevelType w:val="hybridMultilevel"/>
    <w:tmpl w:val="6A8A990E"/>
    <w:lvl w:ilvl="0" w:tplc="387EBBF4">
      <w:start w:val="1"/>
      <w:numFmt w:val="decimal"/>
      <w:pStyle w:val="TableHeader"/>
      <w:lvlText w:val="Table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E446B"/>
    <w:multiLevelType w:val="hybridMultilevel"/>
    <w:tmpl w:val="CA08309C"/>
    <w:lvl w:ilvl="0" w:tplc="95E86A92">
      <w:start w:val="1"/>
      <w:numFmt w:val="decimal"/>
      <w:pStyle w:val="EquationHeader"/>
      <w:lvlText w:val="Equation %1."/>
      <w:lvlJc w:val="left"/>
      <w:pPr>
        <w:ind w:left="360" w:hanging="360"/>
      </w:pPr>
      <w:rPr>
        <w:rFonts w:hint="default"/>
        <w:b/>
        <w:bCs w:val="0"/>
        <w:i w:val="0"/>
        <w:iCs w:val="0"/>
        <w:caps w:val="0"/>
        <w:strike w:val="0"/>
        <w:dstrike w:val="0"/>
        <w:outline w:val="0"/>
        <w:shadow w:val="0"/>
        <w:emboss w:val="0"/>
        <w:imprint w:val="0"/>
        <w:vanish w:val="0"/>
        <w:color w:val="000000" w:themeColor="text1"/>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97533"/>
    <w:multiLevelType w:val="multilevel"/>
    <w:tmpl w:val="63A89B84"/>
    <w:lvl w:ilvl="0">
      <w:start w:val="1"/>
      <w:numFmt w:val="bullet"/>
      <w:pStyle w:val="BulletedList"/>
      <w:lvlText w:val=""/>
      <w:lvlJc w:val="left"/>
      <w:pPr>
        <w:ind w:left="252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7" w15:restartNumberingAfterBreak="0">
    <w:nsid w:val="5C3C3E36"/>
    <w:multiLevelType w:val="hybridMultilevel"/>
    <w:tmpl w:val="D410E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CE638C"/>
    <w:multiLevelType w:val="hybridMultilevel"/>
    <w:tmpl w:val="9E84A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FF4F01"/>
    <w:multiLevelType w:val="hybridMultilevel"/>
    <w:tmpl w:val="3C8E81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1D288C"/>
    <w:multiLevelType w:val="hybridMultilevel"/>
    <w:tmpl w:val="A03230CA"/>
    <w:lvl w:ilvl="0" w:tplc="26560062">
      <w:start w:val="1"/>
      <w:numFmt w:val="decimal"/>
      <w:lvlText w:val="Table %1."/>
      <w:lvlJc w:val="left"/>
      <w:pPr>
        <w:ind w:left="3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9545AF"/>
    <w:multiLevelType w:val="hybridMultilevel"/>
    <w:tmpl w:val="15026A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6C02DB2"/>
    <w:multiLevelType w:val="hybridMultilevel"/>
    <w:tmpl w:val="4C864A4E"/>
    <w:lvl w:ilvl="0" w:tplc="0409000F">
      <w:start w:val="1"/>
      <w:numFmt w:val="decimal"/>
      <w:lvlText w:val="%1."/>
      <w:lvlJc w:val="left"/>
      <w:pPr>
        <w:ind w:left="1440" w:hanging="360"/>
      </w:pPr>
    </w:lvl>
    <w:lvl w:ilvl="1" w:tplc="269EE8F8">
      <w:numFmt w:val="bullet"/>
      <w:lvlText w:val="•"/>
      <w:lvlJc w:val="left"/>
      <w:pPr>
        <w:ind w:left="2520" w:hanging="720"/>
      </w:pPr>
      <w:rPr>
        <w:rFonts w:ascii="Times New Roman" w:eastAsiaTheme="minorEastAsia"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6"/>
  </w:num>
  <w:num w:numId="5">
    <w:abstractNumId w:val="0"/>
  </w:num>
  <w:num w:numId="6">
    <w:abstractNumId w:val="4"/>
  </w:num>
  <w:num w:numId="7">
    <w:abstractNumId w:val="3"/>
  </w:num>
  <w:num w:numId="8">
    <w:abstractNumId w:val="13"/>
    <w:lvlOverride w:ilvl="0">
      <w:startOverride w:val="1"/>
    </w:lvlOverride>
  </w:num>
  <w:num w:numId="9">
    <w:abstractNumId w:val="16"/>
  </w:num>
  <w:num w:numId="10">
    <w:abstractNumId w:val="15"/>
  </w:num>
  <w:num w:numId="11">
    <w:abstractNumId w:val="14"/>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20"/>
  </w:num>
  <w:num w:numId="17">
    <w:abstractNumId w:val="5"/>
  </w:num>
  <w:num w:numId="18">
    <w:abstractNumId w:val="22"/>
  </w:num>
  <w:num w:numId="19">
    <w:abstractNumId w:val="18"/>
  </w:num>
  <w:num w:numId="20">
    <w:abstractNumId w:val="21"/>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19"/>
  </w:num>
  <w:num w:numId="26">
    <w:abstractNumId w:val="6"/>
    <w:lvlOverride w:ilvl="0">
      <w:startOverride w:val="1"/>
    </w:lvlOverride>
  </w:num>
  <w:num w:numId="27">
    <w:abstractNumId w:val="11"/>
  </w:num>
  <w:num w:numId="28">
    <w:abstractNumId w:val="17"/>
  </w:num>
  <w:num w:numId="29">
    <w:abstractNumId w:val="9"/>
  </w:num>
  <w:num w:numId="30">
    <w:abstractNumId w:val="7"/>
  </w:num>
  <w:num w:numId="3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AUTFullNameLF" w:val="Ball, Robin D."/>
    <w:docVar w:name="strAUTName" w:val="Robin D. Ball"/>
    <w:docVar w:name="strCName" w:val="YPF SOCIEDAD ANONIMA"/>
    <w:docVar w:name="strCNum" w:val="21868"/>
    <w:docVar w:name="strDocID" w:val="CPAM: 8500988.1"/>
    <w:docVar w:name="strDocID_OLD" w:val="CPAM: 8500988.1"/>
    <w:docVar w:name="strDocIDNoVersion" w:val="CPAM: 8500988"/>
    <w:docVar w:name="strMName" w:val="TRACK IV"/>
    <w:docVar w:name="strMNum" w:val="028"/>
    <w:docVar w:name="strTYPFullNameLF" w:val="Kim, Michael"/>
    <w:docVar w:name="strTYPName" w:val="Michael Kim"/>
  </w:docVars>
  <w:rsids>
    <w:rsidRoot w:val="00EF2E6F"/>
    <w:rsid w:val="00001303"/>
    <w:rsid w:val="000019DD"/>
    <w:rsid w:val="0000412A"/>
    <w:rsid w:val="0000568B"/>
    <w:rsid w:val="00006D9C"/>
    <w:rsid w:val="000074EE"/>
    <w:rsid w:val="000075CB"/>
    <w:rsid w:val="00007D4C"/>
    <w:rsid w:val="00010308"/>
    <w:rsid w:val="00010428"/>
    <w:rsid w:val="000105FB"/>
    <w:rsid w:val="000106DF"/>
    <w:rsid w:val="000109C5"/>
    <w:rsid w:val="00010C2E"/>
    <w:rsid w:val="00010E10"/>
    <w:rsid w:val="00010F7B"/>
    <w:rsid w:val="000114C6"/>
    <w:rsid w:val="000115B2"/>
    <w:rsid w:val="0001189B"/>
    <w:rsid w:val="00013026"/>
    <w:rsid w:val="000140FA"/>
    <w:rsid w:val="000149B8"/>
    <w:rsid w:val="000157D8"/>
    <w:rsid w:val="00016004"/>
    <w:rsid w:val="00017E35"/>
    <w:rsid w:val="00020103"/>
    <w:rsid w:val="000206C4"/>
    <w:rsid w:val="00021AF6"/>
    <w:rsid w:val="00022D5C"/>
    <w:rsid w:val="0002427A"/>
    <w:rsid w:val="00024AEA"/>
    <w:rsid w:val="00024F82"/>
    <w:rsid w:val="00025209"/>
    <w:rsid w:val="00026214"/>
    <w:rsid w:val="00027ABC"/>
    <w:rsid w:val="00027C83"/>
    <w:rsid w:val="000303A5"/>
    <w:rsid w:val="00030599"/>
    <w:rsid w:val="00030A17"/>
    <w:rsid w:val="00031B09"/>
    <w:rsid w:val="000323BB"/>
    <w:rsid w:val="0003346A"/>
    <w:rsid w:val="00033773"/>
    <w:rsid w:val="000341DD"/>
    <w:rsid w:val="00034583"/>
    <w:rsid w:val="00034BED"/>
    <w:rsid w:val="00035B7C"/>
    <w:rsid w:val="000360AE"/>
    <w:rsid w:val="00037046"/>
    <w:rsid w:val="00037055"/>
    <w:rsid w:val="00037AF2"/>
    <w:rsid w:val="0004012E"/>
    <w:rsid w:val="0004233C"/>
    <w:rsid w:val="000427FD"/>
    <w:rsid w:val="00043661"/>
    <w:rsid w:val="000443D6"/>
    <w:rsid w:val="0004466F"/>
    <w:rsid w:val="00044A0C"/>
    <w:rsid w:val="00044D6B"/>
    <w:rsid w:val="00045C60"/>
    <w:rsid w:val="00046486"/>
    <w:rsid w:val="0004766E"/>
    <w:rsid w:val="000478A0"/>
    <w:rsid w:val="00051494"/>
    <w:rsid w:val="0005274A"/>
    <w:rsid w:val="00052D58"/>
    <w:rsid w:val="00052F41"/>
    <w:rsid w:val="000543C1"/>
    <w:rsid w:val="00054ABD"/>
    <w:rsid w:val="00056269"/>
    <w:rsid w:val="000579B6"/>
    <w:rsid w:val="00057C73"/>
    <w:rsid w:val="00060CB9"/>
    <w:rsid w:val="00061A5E"/>
    <w:rsid w:val="00061C9E"/>
    <w:rsid w:val="00062121"/>
    <w:rsid w:val="00063D4C"/>
    <w:rsid w:val="000642AB"/>
    <w:rsid w:val="00064736"/>
    <w:rsid w:val="000648A1"/>
    <w:rsid w:val="0006556C"/>
    <w:rsid w:val="0006624A"/>
    <w:rsid w:val="0006633D"/>
    <w:rsid w:val="00066E32"/>
    <w:rsid w:val="00067D2D"/>
    <w:rsid w:val="00070000"/>
    <w:rsid w:val="000706C6"/>
    <w:rsid w:val="00070FEA"/>
    <w:rsid w:val="0007131B"/>
    <w:rsid w:val="000737D7"/>
    <w:rsid w:val="0007427B"/>
    <w:rsid w:val="00074B4C"/>
    <w:rsid w:val="000755BF"/>
    <w:rsid w:val="00076E43"/>
    <w:rsid w:val="00077825"/>
    <w:rsid w:val="00077CC1"/>
    <w:rsid w:val="000804AF"/>
    <w:rsid w:val="000816DB"/>
    <w:rsid w:val="00082358"/>
    <w:rsid w:val="00082728"/>
    <w:rsid w:val="000831CC"/>
    <w:rsid w:val="000837AB"/>
    <w:rsid w:val="00083C43"/>
    <w:rsid w:val="0008421F"/>
    <w:rsid w:val="00084A59"/>
    <w:rsid w:val="00085072"/>
    <w:rsid w:val="000850D0"/>
    <w:rsid w:val="00085717"/>
    <w:rsid w:val="000859E8"/>
    <w:rsid w:val="00085E50"/>
    <w:rsid w:val="000863C2"/>
    <w:rsid w:val="00086544"/>
    <w:rsid w:val="0008663B"/>
    <w:rsid w:val="00087D3D"/>
    <w:rsid w:val="00090735"/>
    <w:rsid w:val="00090A09"/>
    <w:rsid w:val="0009214F"/>
    <w:rsid w:val="00092206"/>
    <w:rsid w:val="000922D3"/>
    <w:rsid w:val="00092602"/>
    <w:rsid w:val="000927EB"/>
    <w:rsid w:val="00093336"/>
    <w:rsid w:val="00094620"/>
    <w:rsid w:val="00097094"/>
    <w:rsid w:val="00097362"/>
    <w:rsid w:val="00097448"/>
    <w:rsid w:val="00097B6B"/>
    <w:rsid w:val="00097BF9"/>
    <w:rsid w:val="00097D0D"/>
    <w:rsid w:val="000A037D"/>
    <w:rsid w:val="000A05DE"/>
    <w:rsid w:val="000A08CB"/>
    <w:rsid w:val="000A0D89"/>
    <w:rsid w:val="000A0ECD"/>
    <w:rsid w:val="000A1A98"/>
    <w:rsid w:val="000A2AF8"/>
    <w:rsid w:val="000A2CB9"/>
    <w:rsid w:val="000A38B8"/>
    <w:rsid w:val="000A3945"/>
    <w:rsid w:val="000A3BA3"/>
    <w:rsid w:val="000A3D8F"/>
    <w:rsid w:val="000A410A"/>
    <w:rsid w:val="000A59BC"/>
    <w:rsid w:val="000A6956"/>
    <w:rsid w:val="000A6B25"/>
    <w:rsid w:val="000A7188"/>
    <w:rsid w:val="000A7924"/>
    <w:rsid w:val="000B0A30"/>
    <w:rsid w:val="000B112F"/>
    <w:rsid w:val="000B18FF"/>
    <w:rsid w:val="000B1C30"/>
    <w:rsid w:val="000B2901"/>
    <w:rsid w:val="000B32DE"/>
    <w:rsid w:val="000B3C53"/>
    <w:rsid w:val="000B4B66"/>
    <w:rsid w:val="000B4D66"/>
    <w:rsid w:val="000B6148"/>
    <w:rsid w:val="000B6462"/>
    <w:rsid w:val="000B6809"/>
    <w:rsid w:val="000B6AA0"/>
    <w:rsid w:val="000B7166"/>
    <w:rsid w:val="000B71BD"/>
    <w:rsid w:val="000B763D"/>
    <w:rsid w:val="000C0930"/>
    <w:rsid w:val="000C0CB1"/>
    <w:rsid w:val="000C2051"/>
    <w:rsid w:val="000C2CFA"/>
    <w:rsid w:val="000C30EC"/>
    <w:rsid w:val="000C4754"/>
    <w:rsid w:val="000C4B88"/>
    <w:rsid w:val="000C504A"/>
    <w:rsid w:val="000C6647"/>
    <w:rsid w:val="000C68CE"/>
    <w:rsid w:val="000C6CBB"/>
    <w:rsid w:val="000C6CEB"/>
    <w:rsid w:val="000C77D2"/>
    <w:rsid w:val="000D000E"/>
    <w:rsid w:val="000D1E07"/>
    <w:rsid w:val="000D212D"/>
    <w:rsid w:val="000D2144"/>
    <w:rsid w:val="000D2845"/>
    <w:rsid w:val="000D288C"/>
    <w:rsid w:val="000D2D87"/>
    <w:rsid w:val="000D38F0"/>
    <w:rsid w:val="000D48E8"/>
    <w:rsid w:val="000D4CD8"/>
    <w:rsid w:val="000D6C63"/>
    <w:rsid w:val="000D70C8"/>
    <w:rsid w:val="000D7191"/>
    <w:rsid w:val="000D793F"/>
    <w:rsid w:val="000D7FEF"/>
    <w:rsid w:val="000E0481"/>
    <w:rsid w:val="000E1F61"/>
    <w:rsid w:val="000E23FB"/>
    <w:rsid w:val="000E2BD9"/>
    <w:rsid w:val="000E2C37"/>
    <w:rsid w:val="000E42C9"/>
    <w:rsid w:val="000E4370"/>
    <w:rsid w:val="000E47F7"/>
    <w:rsid w:val="000E50E6"/>
    <w:rsid w:val="000E6061"/>
    <w:rsid w:val="000E650D"/>
    <w:rsid w:val="000E65F3"/>
    <w:rsid w:val="000F0429"/>
    <w:rsid w:val="000F1278"/>
    <w:rsid w:val="000F1AD7"/>
    <w:rsid w:val="000F25DD"/>
    <w:rsid w:val="000F2AC4"/>
    <w:rsid w:val="000F3822"/>
    <w:rsid w:val="000F422C"/>
    <w:rsid w:val="000F49B2"/>
    <w:rsid w:val="000F5057"/>
    <w:rsid w:val="000F6D2A"/>
    <w:rsid w:val="000F6F25"/>
    <w:rsid w:val="000F7C11"/>
    <w:rsid w:val="00100290"/>
    <w:rsid w:val="00100783"/>
    <w:rsid w:val="00101A32"/>
    <w:rsid w:val="00102590"/>
    <w:rsid w:val="00103005"/>
    <w:rsid w:val="0010331D"/>
    <w:rsid w:val="00104869"/>
    <w:rsid w:val="001049B4"/>
    <w:rsid w:val="0010643E"/>
    <w:rsid w:val="001066F9"/>
    <w:rsid w:val="00107B09"/>
    <w:rsid w:val="001110E3"/>
    <w:rsid w:val="00111309"/>
    <w:rsid w:val="00111CCA"/>
    <w:rsid w:val="001121B2"/>
    <w:rsid w:val="00112BED"/>
    <w:rsid w:val="00113363"/>
    <w:rsid w:val="00113C0D"/>
    <w:rsid w:val="00113FAB"/>
    <w:rsid w:val="00114925"/>
    <w:rsid w:val="00114A9C"/>
    <w:rsid w:val="001160D1"/>
    <w:rsid w:val="00116BD4"/>
    <w:rsid w:val="0012001E"/>
    <w:rsid w:val="00120BD2"/>
    <w:rsid w:val="00120E4F"/>
    <w:rsid w:val="001212E3"/>
    <w:rsid w:val="00121A54"/>
    <w:rsid w:val="00122701"/>
    <w:rsid w:val="00122D0A"/>
    <w:rsid w:val="001231EB"/>
    <w:rsid w:val="00123A15"/>
    <w:rsid w:val="00123EB0"/>
    <w:rsid w:val="00124113"/>
    <w:rsid w:val="00124665"/>
    <w:rsid w:val="00124DD0"/>
    <w:rsid w:val="00124F79"/>
    <w:rsid w:val="00124FF8"/>
    <w:rsid w:val="001260CB"/>
    <w:rsid w:val="00126953"/>
    <w:rsid w:val="00126ACE"/>
    <w:rsid w:val="00127B6E"/>
    <w:rsid w:val="001302B1"/>
    <w:rsid w:val="001312EB"/>
    <w:rsid w:val="00131614"/>
    <w:rsid w:val="00132A10"/>
    <w:rsid w:val="00133BE0"/>
    <w:rsid w:val="00135AA2"/>
    <w:rsid w:val="001363BB"/>
    <w:rsid w:val="00136925"/>
    <w:rsid w:val="001373B3"/>
    <w:rsid w:val="001374AB"/>
    <w:rsid w:val="0013798C"/>
    <w:rsid w:val="00140BDB"/>
    <w:rsid w:val="001414F5"/>
    <w:rsid w:val="00141685"/>
    <w:rsid w:val="00142A1F"/>
    <w:rsid w:val="00142B40"/>
    <w:rsid w:val="00142F1F"/>
    <w:rsid w:val="00143718"/>
    <w:rsid w:val="00144453"/>
    <w:rsid w:val="00144E64"/>
    <w:rsid w:val="0014515B"/>
    <w:rsid w:val="00146383"/>
    <w:rsid w:val="0014666E"/>
    <w:rsid w:val="00146AA4"/>
    <w:rsid w:val="00147339"/>
    <w:rsid w:val="0014786D"/>
    <w:rsid w:val="00147B5F"/>
    <w:rsid w:val="00150115"/>
    <w:rsid w:val="00150372"/>
    <w:rsid w:val="00150680"/>
    <w:rsid w:val="00150883"/>
    <w:rsid w:val="00150A3C"/>
    <w:rsid w:val="00150B9F"/>
    <w:rsid w:val="001522A8"/>
    <w:rsid w:val="00152CAF"/>
    <w:rsid w:val="00152CDA"/>
    <w:rsid w:val="00154055"/>
    <w:rsid w:val="00154755"/>
    <w:rsid w:val="00154905"/>
    <w:rsid w:val="00154E92"/>
    <w:rsid w:val="00155EEF"/>
    <w:rsid w:val="0015677F"/>
    <w:rsid w:val="00156816"/>
    <w:rsid w:val="00157384"/>
    <w:rsid w:val="0015761A"/>
    <w:rsid w:val="00157C58"/>
    <w:rsid w:val="00157E50"/>
    <w:rsid w:val="001605D7"/>
    <w:rsid w:val="00161A7A"/>
    <w:rsid w:val="00161BA8"/>
    <w:rsid w:val="00163FEF"/>
    <w:rsid w:val="001641C5"/>
    <w:rsid w:val="00164B82"/>
    <w:rsid w:val="001655CC"/>
    <w:rsid w:val="00165647"/>
    <w:rsid w:val="001659DC"/>
    <w:rsid w:val="00166F97"/>
    <w:rsid w:val="00167671"/>
    <w:rsid w:val="00167F95"/>
    <w:rsid w:val="0017050B"/>
    <w:rsid w:val="00170797"/>
    <w:rsid w:val="001708FA"/>
    <w:rsid w:val="00171552"/>
    <w:rsid w:val="001724D1"/>
    <w:rsid w:val="00172E1D"/>
    <w:rsid w:val="001740AD"/>
    <w:rsid w:val="0017422B"/>
    <w:rsid w:val="00174909"/>
    <w:rsid w:val="0017579C"/>
    <w:rsid w:val="00175A10"/>
    <w:rsid w:val="00175D3F"/>
    <w:rsid w:val="00177AEF"/>
    <w:rsid w:val="00180006"/>
    <w:rsid w:val="0018093C"/>
    <w:rsid w:val="0018133D"/>
    <w:rsid w:val="001818B3"/>
    <w:rsid w:val="0018190D"/>
    <w:rsid w:val="00181BE7"/>
    <w:rsid w:val="00181BFC"/>
    <w:rsid w:val="00185468"/>
    <w:rsid w:val="0018583A"/>
    <w:rsid w:val="00186602"/>
    <w:rsid w:val="00187679"/>
    <w:rsid w:val="001904A3"/>
    <w:rsid w:val="00190867"/>
    <w:rsid w:val="00190A76"/>
    <w:rsid w:val="00192128"/>
    <w:rsid w:val="00192F23"/>
    <w:rsid w:val="001932B5"/>
    <w:rsid w:val="00193904"/>
    <w:rsid w:val="00193A31"/>
    <w:rsid w:val="00193B57"/>
    <w:rsid w:val="00195344"/>
    <w:rsid w:val="001954C6"/>
    <w:rsid w:val="00195A0A"/>
    <w:rsid w:val="001961FB"/>
    <w:rsid w:val="00196C92"/>
    <w:rsid w:val="001A024E"/>
    <w:rsid w:val="001A087A"/>
    <w:rsid w:val="001A17CA"/>
    <w:rsid w:val="001A238C"/>
    <w:rsid w:val="001A253C"/>
    <w:rsid w:val="001A26FC"/>
    <w:rsid w:val="001A3460"/>
    <w:rsid w:val="001A3936"/>
    <w:rsid w:val="001A3E11"/>
    <w:rsid w:val="001A440C"/>
    <w:rsid w:val="001A6E21"/>
    <w:rsid w:val="001A6F3F"/>
    <w:rsid w:val="001A70BB"/>
    <w:rsid w:val="001A7711"/>
    <w:rsid w:val="001A7951"/>
    <w:rsid w:val="001B0B13"/>
    <w:rsid w:val="001B23A1"/>
    <w:rsid w:val="001B26ED"/>
    <w:rsid w:val="001B2EAB"/>
    <w:rsid w:val="001B39B9"/>
    <w:rsid w:val="001B3ABF"/>
    <w:rsid w:val="001B46A2"/>
    <w:rsid w:val="001B47CE"/>
    <w:rsid w:val="001B4BE9"/>
    <w:rsid w:val="001B4CB0"/>
    <w:rsid w:val="001B5CBA"/>
    <w:rsid w:val="001B7060"/>
    <w:rsid w:val="001B7A75"/>
    <w:rsid w:val="001C1DF4"/>
    <w:rsid w:val="001C454C"/>
    <w:rsid w:val="001C45BC"/>
    <w:rsid w:val="001C4613"/>
    <w:rsid w:val="001C464D"/>
    <w:rsid w:val="001C4D57"/>
    <w:rsid w:val="001C538E"/>
    <w:rsid w:val="001C540B"/>
    <w:rsid w:val="001C57EF"/>
    <w:rsid w:val="001C5E6A"/>
    <w:rsid w:val="001C6119"/>
    <w:rsid w:val="001C682E"/>
    <w:rsid w:val="001C6CE2"/>
    <w:rsid w:val="001C7457"/>
    <w:rsid w:val="001D1732"/>
    <w:rsid w:val="001D1C9E"/>
    <w:rsid w:val="001D1EB4"/>
    <w:rsid w:val="001D278F"/>
    <w:rsid w:val="001D302F"/>
    <w:rsid w:val="001D34B4"/>
    <w:rsid w:val="001D3975"/>
    <w:rsid w:val="001D400F"/>
    <w:rsid w:val="001D4191"/>
    <w:rsid w:val="001D5A17"/>
    <w:rsid w:val="001D6509"/>
    <w:rsid w:val="001D6BA4"/>
    <w:rsid w:val="001D6D4A"/>
    <w:rsid w:val="001D7CE0"/>
    <w:rsid w:val="001E04CE"/>
    <w:rsid w:val="001E1A43"/>
    <w:rsid w:val="001E32B2"/>
    <w:rsid w:val="001E40E7"/>
    <w:rsid w:val="001E413D"/>
    <w:rsid w:val="001E646E"/>
    <w:rsid w:val="001E6A49"/>
    <w:rsid w:val="001E7166"/>
    <w:rsid w:val="001E797B"/>
    <w:rsid w:val="001E7B0C"/>
    <w:rsid w:val="001E7E80"/>
    <w:rsid w:val="001F204E"/>
    <w:rsid w:val="001F3E5E"/>
    <w:rsid w:val="001F4CD5"/>
    <w:rsid w:val="001F4DAD"/>
    <w:rsid w:val="001F588E"/>
    <w:rsid w:val="001F5E18"/>
    <w:rsid w:val="001F668B"/>
    <w:rsid w:val="001F7088"/>
    <w:rsid w:val="001F77A0"/>
    <w:rsid w:val="001F7E11"/>
    <w:rsid w:val="00200861"/>
    <w:rsid w:val="00200E86"/>
    <w:rsid w:val="00202044"/>
    <w:rsid w:val="00202673"/>
    <w:rsid w:val="002026F4"/>
    <w:rsid w:val="00202768"/>
    <w:rsid w:val="00202854"/>
    <w:rsid w:val="00202907"/>
    <w:rsid w:val="00202EDB"/>
    <w:rsid w:val="00204C2A"/>
    <w:rsid w:val="00204FE0"/>
    <w:rsid w:val="00205030"/>
    <w:rsid w:val="002066A3"/>
    <w:rsid w:val="00206AE7"/>
    <w:rsid w:val="002072C6"/>
    <w:rsid w:val="00207556"/>
    <w:rsid w:val="00210A13"/>
    <w:rsid w:val="00211336"/>
    <w:rsid w:val="002122EE"/>
    <w:rsid w:val="002125D8"/>
    <w:rsid w:val="002128F0"/>
    <w:rsid w:val="00212F76"/>
    <w:rsid w:val="00213266"/>
    <w:rsid w:val="002134C5"/>
    <w:rsid w:val="00213B42"/>
    <w:rsid w:val="00213DF9"/>
    <w:rsid w:val="00213FE8"/>
    <w:rsid w:val="0021418B"/>
    <w:rsid w:val="0021451B"/>
    <w:rsid w:val="002155AF"/>
    <w:rsid w:val="002158B8"/>
    <w:rsid w:val="00215BC1"/>
    <w:rsid w:val="00215CA9"/>
    <w:rsid w:val="0021608D"/>
    <w:rsid w:val="002168FD"/>
    <w:rsid w:val="00220A7B"/>
    <w:rsid w:val="00220CDC"/>
    <w:rsid w:val="002216D1"/>
    <w:rsid w:val="00221DD3"/>
    <w:rsid w:val="00224FFF"/>
    <w:rsid w:val="00225791"/>
    <w:rsid w:val="0022670B"/>
    <w:rsid w:val="00226E19"/>
    <w:rsid w:val="00227C79"/>
    <w:rsid w:val="00230305"/>
    <w:rsid w:val="002305DC"/>
    <w:rsid w:val="002309F5"/>
    <w:rsid w:val="00231798"/>
    <w:rsid w:val="002319E4"/>
    <w:rsid w:val="00232428"/>
    <w:rsid w:val="00233B24"/>
    <w:rsid w:val="002342CF"/>
    <w:rsid w:val="0023467B"/>
    <w:rsid w:val="00234941"/>
    <w:rsid w:val="00235988"/>
    <w:rsid w:val="00237753"/>
    <w:rsid w:val="00240130"/>
    <w:rsid w:val="002409EE"/>
    <w:rsid w:val="00241BA5"/>
    <w:rsid w:val="00242259"/>
    <w:rsid w:val="00242554"/>
    <w:rsid w:val="00242F93"/>
    <w:rsid w:val="0024343B"/>
    <w:rsid w:val="002450AD"/>
    <w:rsid w:val="00245B69"/>
    <w:rsid w:val="0024658D"/>
    <w:rsid w:val="00246AEA"/>
    <w:rsid w:val="00246DBE"/>
    <w:rsid w:val="00246FA8"/>
    <w:rsid w:val="00246FB9"/>
    <w:rsid w:val="00247381"/>
    <w:rsid w:val="002479E7"/>
    <w:rsid w:val="0025028C"/>
    <w:rsid w:val="0025376F"/>
    <w:rsid w:val="00253FD3"/>
    <w:rsid w:val="0025413F"/>
    <w:rsid w:val="00254271"/>
    <w:rsid w:val="002542C4"/>
    <w:rsid w:val="002542E2"/>
    <w:rsid w:val="00255027"/>
    <w:rsid w:val="00256335"/>
    <w:rsid w:val="0025634F"/>
    <w:rsid w:val="00257049"/>
    <w:rsid w:val="0026134C"/>
    <w:rsid w:val="00261E0F"/>
    <w:rsid w:val="00263379"/>
    <w:rsid w:val="00263D82"/>
    <w:rsid w:val="00264526"/>
    <w:rsid w:val="00264603"/>
    <w:rsid w:val="00265280"/>
    <w:rsid w:val="00265496"/>
    <w:rsid w:val="00266218"/>
    <w:rsid w:val="00266361"/>
    <w:rsid w:val="00266757"/>
    <w:rsid w:val="00266C67"/>
    <w:rsid w:val="00266D04"/>
    <w:rsid w:val="00267141"/>
    <w:rsid w:val="00272334"/>
    <w:rsid w:val="00272A97"/>
    <w:rsid w:val="00272F40"/>
    <w:rsid w:val="002736AD"/>
    <w:rsid w:val="0027466C"/>
    <w:rsid w:val="00275889"/>
    <w:rsid w:val="0027622D"/>
    <w:rsid w:val="002769C0"/>
    <w:rsid w:val="00277BDF"/>
    <w:rsid w:val="00280668"/>
    <w:rsid w:val="00280B84"/>
    <w:rsid w:val="0028152A"/>
    <w:rsid w:val="002819C6"/>
    <w:rsid w:val="00282D2B"/>
    <w:rsid w:val="0028345E"/>
    <w:rsid w:val="00283E48"/>
    <w:rsid w:val="00283F87"/>
    <w:rsid w:val="002840DD"/>
    <w:rsid w:val="0028480F"/>
    <w:rsid w:val="00284E22"/>
    <w:rsid w:val="002859DC"/>
    <w:rsid w:val="00285D98"/>
    <w:rsid w:val="00286A93"/>
    <w:rsid w:val="00287065"/>
    <w:rsid w:val="00290603"/>
    <w:rsid w:val="00290AF5"/>
    <w:rsid w:val="00291096"/>
    <w:rsid w:val="00291623"/>
    <w:rsid w:val="00292157"/>
    <w:rsid w:val="00292DE4"/>
    <w:rsid w:val="00292E96"/>
    <w:rsid w:val="00293A76"/>
    <w:rsid w:val="002955CF"/>
    <w:rsid w:val="00296A48"/>
    <w:rsid w:val="00296B09"/>
    <w:rsid w:val="00297C82"/>
    <w:rsid w:val="002A0FFE"/>
    <w:rsid w:val="002A1DE8"/>
    <w:rsid w:val="002A23DA"/>
    <w:rsid w:val="002A2471"/>
    <w:rsid w:val="002A3A0C"/>
    <w:rsid w:val="002A3DE7"/>
    <w:rsid w:val="002A460F"/>
    <w:rsid w:val="002A4A8B"/>
    <w:rsid w:val="002A76F9"/>
    <w:rsid w:val="002A7FC8"/>
    <w:rsid w:val="002B000E"/>
    <w:rsid w:val="002B39FB"/>
    <w:rsid w:val="002B42FE"/>
    <w:rsid w:val="002B4B3E"/>
    <w:rsid w:val="002B5107"/>
    <w:rsid w:val="002B5380"/>
    <w:rsid w:val="002B5E42"/>
    <w:rsid w:val="002B765B"/>
    <w:rsid w:val="002B7A51"/>
    <w:rsid w:val="002C0689"/>
    <w:rsid w:val="002C0DDD"/>
    <w:rsid w:val="002C10FC"/>
    <w:rsid w:val="002C1551"/>
    <w:rsid w:val="002C1683"/>
    <w:rsid w:val="002C1E0A"/>
    <w:rsid w:val="002C2103"/>
    <w:rsid w:val="002C317F"/>
    <w:rsid w:val="002C33FB"/>
    <w:rsid w:val="002C4687"/>
    <w:rsid w:val="002C4D94"/>
    <w:rsid w:val="002C57C5"/>
    <w:rsid w:val="002C5CA2"/>
    <w:rsid w:val="002C66FC"/>
    <w:rsid w:val="002C6A02"/>
    <w:rsid w:val="002C6FB1"/>
    <w:rsid w:val="002C706C"/>
    <w:rsid w:val="002C78C6"/>
    <w:rsid w:val="002D0809"/>
    <w:rsid w:val="002D0BBA"/>
    <w:rsid w:val="002D0F55"/>
    <w:rsid w:val="002D1544"/>
    <w:rsid w:val="002D41B4"/>
    <w:rsid w:val="002D44C8"/>
    <w:rsid w:val="002D4D1D"/>
    <w:rsid w:val="002D5DF6"/>
    <w:rsid w:val="002D631A"/>
    <w:rsid w:val="002D6A01"/>
    <w:rsid w:val="002D7F1E"/>
    <w:rsid w:val="002E007E"/>
    <w:rsid w:val="002E0B6C"/>
    <w:rsid w:val="002E150B"/>
    <w:rsid w:val="002E1E33"/>
    <w:rsid w:val="002E31A6"/>
    <w:rsid w:val="002E3F5C"/>
    <w:rsid w:val="002E5CA1"/>
    <w:rsid w:val="002E5DDF"/>
    <w:rsid w:val="002E6274"/>
    <w:rsid w:val="002E788F"/>
    <w:rsid w:val="002F02CE"/>
    <w:rsid w:val="002F0FC3"/>
    <w:rsid w:val="002F25A7"/>
    <w:rsid w:val="002F377D"/>
    <w:rsid w:val="002F3EFE"/>
    <w:rsid w:val="002F4273"/>
    <w:rsid w:val="002F43D7"/>
    <w:rsid w:val="002F455E"/>
    <w:rsid w:val="002F5426"/>
    <w:rsid w:val="002F58B8"/>
    <w:rsid w:val="002F6E8E"/>
    <w:rsid w:val="002F74E5"/>
    <w:rsid w:val="00300414"/>
    <w:rsid w:val="00301A7C"/>
    <w:rsid w:val="00304CB0"/>
    <w:rsid w:val="00305CE9"/>
    <w:rsid w:val="00305D2A"/>
    <w:rsid w:val="00307DD4"/>
    <w:rsid w:val="00310CA8"/>
    <w:rsid w:val="003119B4"/>
    <w:rsid w:val="00312445"/>
    <w:rsid w:val="00312FF8"/>
    <w:rsid w:val="00313413"/>
    <w:rsid w:val="00313B35"/>
    <w:rsid w:val="0031490D"/>
    <w:rsid w:val="003149E8"/>
    <w:rsid w:val="00315761"/>
    <w:rsid w:val="00315E42"/>
    <w:rsid w:val="0031660E"/>
    <w:rsid w:val="00316AA5"/>
    <w:rsid w:val="0031702F"/>
    <w:rsid w:val="003178E6"/>
    <w:rsid w:val="00317D2B"/>
    <w:rsid w:val="003206D9"/>
    <w:rsid w:val="00320FA0"/>
    <w:rsid w:val="00321A53"/>
    <w:rsid w:val="0032207C"/>
    <w:rsid w:val="003240D9"/>
    <w:rsid w:val="003246E1"/>
    <w:rsid w:val="00324EC9"/>
    <w:rsid w:val="0032592B"/>
    <w:rsid w:val="00326037"/>
    <w:rsid w:val="00326365"/>
    <w:rsid w:val="00326DA5"/>
    <w:rsid w:val="00326E09"/>
    <w:rsid w:val="00330DB7"/>
    <w:rsid w:val="003312A2"/>
    <w:rsid w:val="00331775"/>
    <w:rsid w:val="00331B53"/>
    <w:rsid w:val="00332536"/>
    <w:rsid w:val="003327AC"/>
    <w:rsid w:val="00333109"/>
    <w:rsid w:val="0033331F"/>
    <w:rsid w:val="003333C1"/>
    <w:rsid w:val="00333D3F"/>
    <w:rsid w:val="00336182"/>
    <w:rsid w:val="003376EA"/>
    <w:rsid w:val="003378B6"/>
    <w:rsid w:val="00337A98"/>
    <w:rsid w:val="003402E5"/>
    <w:rsid w:val="0034030F"/>
    <w:rsid w:val="003414A8"/>
    <w:rsid w:val="00341721"/>
    <w:rsid w:val="00341DAF"/>
    <w:rsid w:val="0034387A"/>
    <w:rsid w:val="00343CAB"/>
    <w:rsid w:val="00344B26"/>
    <w:rsid w:val="0034571A"/>
    <w:rsid w:val="00345762"/>
    <w:rsid w:val="003466EF"/>
    <w:rsid w:val="00346946"/>
    <w:rsid w:val="00351585"/>
    <w:rsid w:val="0035282F"/>
    <w:rsid w:val="00352AD8"/>
    <w:rsid w:val="00352EC4"/>
    <w:rsid w:val="00353C2B"/>
    <w:rsid w:val="00353D3F"/>
    <w:rsid w:val="00353E3E"/>
    <w:rsid w:val="003541F4"/>
    <w:rsid w:val="00355E0A"/>
    <w:rsid w:val="00355FD4"/>
    <w:rsid w:val="00357D6D"/>
    <w:rsid w:val="00357FA6"/>
    <w:rsid w:val="00360031"/>
    <w:rsid w:val="0036023D"/>
    <w:rsid w:val="00360F43"/>
    <w:rsid w:val="00361119"/>
    <w:rsid w:val="00361581"/>
    <w:rsid w:val="0036183F"/>
    <w:rsid w:val="00362F30"/>
    <w:rsid w:val="003635F0"/>
    <w:rsid w:val="003637B7"/>
    <w:rsid w:val="0036394F"/>
    <w:rsid w:val="00363D34"/>
    <w:rsid w:val="00364269"/>
    <w:rsid w:val="00364928"/>
    <w:rsid w:val="0036554F"/>
    <w:rsid w:val="0036577A"/>
    <w:rsid w:val="0036595B"/>
    <w:rsid w:val="0036611D"/>
    <w:rsid w:val="00367221"/>
    <w:rsid w:val="003672D2"/>
    <w:rsid w:val="003673B0"/>
    <w:rsid w:val="003678C3"/>
    <w:rsid w:val="0036797B"/>
    <w:rsid w:val="0037024C"/>
    <w:rsid w:val="0037040C"/>
    <w:rsid w:val="00371640"/>
    <w:rsid w:val="00371716"/>
    <w:rsid w:val="0037189C"/>
    <w:rsid w:val="003722CD"/>
    <w:rsid w:val="003728E3"/>
    <w:rsid w:val="00372DA4"/>
    <w:rsid w:val="0037340A"/>
    <w:rsid w:val="003746A4"/>
    <w:rsid w:val="00374773"/>
    <w:rsid w:val="00374A89"/>
    <w:rsid w:val="00375BB7"/>
    <w:rsid w:val="00375F42"/>
    <w:rsid w:val="00376CD3"/>
    <w:rsid w:val="00376F1E"/>
    <w:rsid w:val="003776F0"/>
    <w:rsid w:val="00380D08"/>
    <w:rsid w:val="003818BA"/>
    <w:rsid w:val="003819CA"/>
    <w:rsid w:val="00381CD8"/>
    <w:rsid w:val="003821DD"/>
    <w:rsid w:val="00383494"/>
    <w:rsid w:val="00386C0F"/>
    <w:rsid w:val="0038734F"/>
    <w:rsid w:val="0038767B"/>
    <w:rsid w:val="003907E0"/>
    <w:rsid w:val="00391C4D"/>
    <w:rsid w:val="00391CCD"/>
    <w:rsid w:val="00391E7E"/>
    <w:rsid w:val="00393C21"/>
    <w:rsid w:val="00394635"/>
    <w:rsid w:val="00394AB2"/>
    <w:rsid w:val="00394BD2"/>
    <w:rsid w:val="00394C35"/>
    <w:rsid w:val="00394ED2"/>
    <w:rsid w:val="00394F8C"/>
    <w:rsid w:val="00395240"/>
    <w:rsid w:val="00395C2B"/>
    <w:rsid w:val="003961B1"/>
    <w:rsid w:val="003979AB"/>
    <w:rsid w:val="00397EC7"/>
    <w:rsid w:val="003A08EC"/>
    <w:rsid w:val="003A1620"/>
    <w:rsid w:val="003A19C9"/>
    <w:rsid w:val="003A2BB7"/>
    <w:rsid w:val="003A37BB"/>
    <w:rsid w:val="003A383F"/>
    <w:rsid w:val="003A3F8E"/>
    <w:rsid w:val="003A4091"/>
    <w:rsid w:val="003A46E7"/>
    <w:rsid w:val="003A5CE6"/>
    <w:rsid w:val="003A5D6E"/>
    <w:rsid w:val="003A66BA"/>
    <w:rsid w:val="003A6877"/>
    <w:rsid w:val="003A6AB8"/>
    <w:rsid w:val="003A6C26"/>
    <w:rsid w:val="003A77F8"/>
    <w:rsid w:val="003B04B0"/>
    <w:rsid w:val="003B06A3"/>
    <w:rsid w:val="003B1A50"/>
    <w:rsid w:val="003B21D2"/>
    <w:rsid w:val="003B3225"/>
    <w:rsid w:val="003B37F1"/>
    <w:rsid w:val="003B4ED3"/>
    <w:rsid w:val="003B6002"/>
    <w:rsid w:val="003B710D"/>
    <w:rsid w:val="003C1DA9"/>
    <w:rsid w:val="003C1F09"/>
    <w:rsid w:val="003C27E6"/>
    <w:rsid w:val="003C2B16"/>
    <w:rsid w:val="003C305D"/>
    <w:rsid w:val="003C3B58"/>
    <w:rsid w:val="003C5661"/>
    <w:rsid w:val="003C5754"/>
    <w:rsid w:val="003C5AA7"/>
    <w:rsid w:val="003C5FA7"/>
    <w:rsid w:val="003C6351"/>
    <w:rsid w:val="003C65ED"/>
    <w:rsid w:val="003C6F06"/>
    <w:rsid w:val="003C7279"/>
    <w:rsid w:val="003C7804"/>
    <w:rsid w:val="003D0C88"/>
    <w:rsid w:val="003D0E52"/>
    <w:rsid w:val="003D1D9F"/>
    <w:rsid w:val="003D546B"/>
    <w:rsid w:val="003D6933"/>
    <w:rsid w:val="003E044F"/>
    <w:rsid w:val="003E1B42"/>
    <w:rsid w:val="003E27B6"/>
    <w:rsid w:val="003E295C"/>
    <w:rsid w:val="003E2B74"/>
    <w:rsid w:val="003E33BD"/>
    <w:rsid w:val="003E3D23"/>
    <w:rsid w:val="003E4A31"/>
    <w:rsid w:val="003E5703"/>
    <w:rsid w:val="003E63E6"/>
    <w:rsid w:val="003E6654"/>
    <w:rsid w:val="003E6A15"/>
    <w:rsid w:val="003E70E1"/>
    <w:rsid w:val="003E75C6"/>
    <w:rsid w:val="003E7700"/>
    <w:rsid w:val="003E7E8B"/>
    <w:rsid w:val="003F03B8"/>
    <w:rsid w:val="003F07FF"/>
    <w:rsid w:val="003F10CC"/>
    <w:rsid w:val="003F1366"/>
    <w:rsid w:val="003F2ACF"/>
    <w:rsid w:val="003F3B1B"/>
    <w:rsid w:val="003F3B22"/>
    <w:rsid w:val="003F3CFF"/>
    <w:rsid w:val="003F434C"/>
    <w:rsid w:val="003F46CE"/>
    <w:rsid w:val="003F49A9"/>
    <w:rsid w:val="003F6401"/>
    <w:rsid w:val="003F731B"/>
    <w:rsid w:val="004005D4"/>
    <w:rsid w:val="004014FB"/>
    <w:rsid w:val="00401593"/>
    <w:rsid w:val="004017D8"/>
    <w:rsid w:val="0040258D"/>
    <w:rsid w:val="00403223"/>
    <w:rsid w:val="004032C6"/>
    <w:rsid w:val="00405029"/>
    <w:rsid w:val="004053AE"/>
    <w:rsid w:val="004064CB"/>
    <w:rsid w:val="0040690B"/>
    <w:rsid w:val="004069DE"/>
    <w:rsid w:val="004070F7"/>
    <w:rsid w:val="00410226"/>
    <w:rsid w:val="00410516"/>
    <w:rsid w:val="00411887"/>
    <w:rsid w:val="0041189F"/>
    <w:rsid w:val="00412245"/>
    <w:rsid w:val="00412D69"/>
    <w:rsid w:val="00412E7C"/>
    <w:rsid w:val="00413E8B"/>
    <w:rsid w:val="0041457B"/>
    <w:rsid w:val="00414F80"/>
    <w:rsid w:val="00415A18"/>
    <w:rsid w:val="00415FA2"/>
    <w:rsid w:val="0041679B"/>
    <w:rsid w:val="00417181"/>
    <w:rsid w:val="00417254"/>
    <w:rsid w:val="004174E8"/>
    <w:rsid w:val="00420E88"/>
    <w:rsid w:val="00421419"/>
    <w:rsid w:val="004217ED"/>
    <w:rsid w:val="0042292A"/>
    <w:rsid w:val="004229DE"/>
    <w:rsid w:val="004232CB"/>
    <w:rsid w:val="0042357C"/>
    <w:rsid w:val="00423613"/>
    <w:rsid w:val="00423A15"/>
    <w:rsid w:val="004240C6"/>
    <w:rsid w:val="004244E1"/>
    <w:rsid w:val="00424C29"/>
    <w:rsid w:val="00424D96"/>
    <w:rsid w:val="00425CC3"/>
    <w:rsid w:val="004260F3"/>
    <w:rsid w:val="0042645E"/>
    <w:rsid w:val="004269DC"/>
    <w:rsid w:val="0042730E"/>
    <w:rsid w:val="00430CEB"/>
    <w:rsid w:val="004311CA"/>
    <w:rsid w:val="004317B3"/>
    <w:rsid w:val="004318C4"/>
    <w:rsid w:val="0043258B"/>
    <w:rsid w:val="00432F62"/>
    <w:rsid w:val="00433939"/>
    <w:rsid w:val="00434408"/>
    <w:rsid w:val="004350EA"/>
    <w:rsid w:val="0043541F"/>
    <w:rsid w:val="00435490"/>
    <w:rsid w:val="00435872"/>
    <w:rsid w:val="00435897"/>
    <w:rsid w:val="00436A73"/>
    <w:rsid w:val="00437102"/>
    <w:rsid w:val="004375FB"/>
    <w:rsid w:val="0044005F"/>
    <w:rsid w:val="004413F2"/>
    <w:rsid w:val="0044158E"/>
    <w:rsid w:val="0044238D"/>
    <w:rsid w:val="00442BE7"/>
    <w:rsid w:val="00446386"/>
    <w:rsid w:val="00446B94"/>
    <w:rsid w:val="00446D5C"/>
    <w:rsid w:val="004472FA"/>
    <w:rsid w:val="004502EA"/>
    <w:rsid w:val="00450C42"/>
    <w:rsid w:val="004513F9"/>
    <w:rsid w:val="004518A4"/>
    <w:rsid w:val="00452220"/>
    <w:rsid w:val="004525D2"/>
    <w:rsid w:val="00453150"/>
    <w:rsid w:val="004535EE"/>
    <w:rsid w:val="00453EB2"/>
    <w:rsid w:val="004562E5"/>
    <w:rsid w:val="0045680C"/>
    <w:rsid w:val="0045743E"/>
    <w:rsid w:val="00457C51"/>
    <w:rsid w:val="00457C95"/>
    <w:rsid w:val="00460C68"/>
    <w:rsid w:val="00460FED"/>
    <w:rsid w:val="00461A91"/>
    <w:rsid w:val="00461E72"/>
    <w:rsid w:val="0046307E"/>
    <w:rsid w:val="0046441A"/>
    <w:rsid w:val="0046456D"/>
    <w:rsid w:val="00464E49"/>
    <w:rsid w:val="00464E95"/>
    <w:rsid w:val="00464F2C"/>
    <w:rsid w:val="00466A31"/>
    <w:rsid w:val="00466B6F"/>
    <w:rsid w:val="0046758D"/>
    <w:rsid w:val="00470619"/>
    <w:rsid w:val="00470736"/>
    <w:rsid w:val="0047082D"/>
    <w:rsid w:val="00471B42"/>
    <w:rsid w:val="0047281E"/>
    <w:rsid w:val="0047319F"/>
    <w:rsid w:val="004731BE"/>
    <w:rsid w:val="004732DC"/>
    <w:rsid w:val="00473502"/>
    <w:rsid w:val="00473AEA"/>
    <w:rsid w:val="00474389"/>
    <w:rsid w:val="00475DFB"/>
    <w:rsid w:val="004777C2"/>
    <w:rsid w:val="0048076D"/>
    <w:rsid w:val="00480F19"/>
    <w:rsid w:val="004811E3"/>
    <w:rsid w:val="0048166B"/>
    <w:rsid w:val="00482718"/>
    <w:rsid w:val="00482A0C"/>
    <w:rsid w:val="00483407"/>
    <w:rsid w:val="00483CB1"/>
    <w:rsid w:val="00484C14"/>
    <w:rsid w:val="004850D7"/>
    <w:rsid w:val="004852CA"/>
    <w:rsid w:val="00485534"/>
    <w:rsid w:val="0048575D"/>
    <w:rsid w:val="004862A8"/>
    <w:rsid w:val="00486353"/>
    <w:rsid w:val="004869DC"/>
    <w:rsid w:val="00486A26"/>
    <w:rsid w:val="00486A99"/>
    <w:rsid w:val="00487379"/>
    <w:rsid w:val="00487543"/>
    <w:rsid w:val="00487EE5"/>
    <w:rsid w:val="004902AA"/>
    <w:rsid w:val="00490D58"/>
    <w:rsid w:val="00490DFE"/>
    <w:rsid w:val="004910DF"/>
    <w:rsid w:val="0049116B"/>
    <w:rsid w:val="00491253"/>
    <w:rsid w:val="00491C03"/>
    <w:rsid w:val="00491FE3"/>
    <w:rsid w:val="00492003"/>
    <w:rsid w:val="00492C66"/>
    <w:rsid w:val="00493331"/>
    <w:rsid w:val="00493AC1"/>
    <w:rsid w:val="00493D5D"/>
    <w:rsid w:val="00495188"/>
    <w:rsid w:val="004952DE"/>
    <w:rsid w:val="004957EE"/>
    <w:rsid w:val="0049610D"/>
    <w:rsid w:val="00496299"/>
    <w:rsid w:val="0049766C"/>
    <w:rsid w:val="004A0341"/>
    <w:rsid w:val="004A1646"/>
    <w:rsid w:val="004A1E2E"/>
    <w:rsid w:val="004A2372"/>
    <w:rsid w:val="004A264D"/>
    <w:rsid w:val="004A2FF0"/>
    <w:rsid w:val="004A4000"/>
    <w:rsid w:val="004A413A"/>
    <w:rsid w:val="004A4F8D"/>
    <w:rsid w:val="004A51E0"/>
    <w:rsid w:val="004A5291"/>
    <w:rsid w:val="004A5506"/>
    <w:rsid w:val="004A5DE8"/>
    <w:rsid w:val="004A6E1C"/>
    <w:rsid w:val="004A7AC3"/>
    <w:rsid w:val="004B0592"/>
    <w:rsid w:val="004B097E"/>
    <w:rsid w:val="004B0C0E"/>
    <w:rsid w:val="004B2A52"/>
    <w:rsid w:val="004B2A6B"/>
    <w:rsid w:val="004B4B12"/>
    <w:rsid w:val="004B54D4"/>
    <w:rsid w:val="004B55B3"/>
    <w:rsid w:val="004B5A56"/>
    <w:rsid w:val="004B5B01"/>
    <w:rsid w:val="004B61E2"/>
    <w:rsid w:val="004B64AB"/>
    <w:rsid w:val="004B749B"/>
    <w:rsid w:val="004B74C3"/>
    <w:rsid w:val="004B7A3A"/>
    <w:rsid w:val="004B7C3B"/>
    <w:rsid w:val="004C03B3"/>
    <w:rsid w:val="004C0F65"/>
    <w:rsid w:val="004C1CA6"/>
    <w:rsid w:val="004C1FA9"/>
    <w:rsid w:val="004C3482"/>
    <w:rsid w:val="004C3825"/>
    <w:rsid w:val="004C3943"/>
    <w:rsid w:val="004C4E3C"/>
    <w:rsid w:val="004C53F7"/>
    <w:rsid w:val="004C6668"/>
    <w:rsid w:val="004C678E"/>
    <w:rsid w:val="004C6F04"/>
    <w:rsid w:val="004D17ED"/>
    <w:rsid w:val="004D2CD9"/>
    <w:rsid w:val="004D3245"/>
    <w:rsid w:val="004D331D"/>
    <w:rsid w:val="004D36F4"/>
    <w:rsid w:val="004D3BD8"/>
    <w:rsid w:val="004D3E57"/>
    <w:rsid w:val="004D4B30"/>
    <w:rsid w:val="004D5623"/>
    <w:rsid w:val="004D6969"/>
    <w:rsid w:val="004D6E72"/>
    <w:rsid w:val="004E110B"/>
    <w:rsid w:val="004E25F5"/>
    <w:rsid w:val="004E3561"/>
    <w:rsid w:val="004E38AC"/>
    <w:rsid w:val="004E4617"/>
    <w:rsid w:val="004E55D5"/>
    <w:rsid w:val="004E6A85"/>
    <w:rsid w:val="004E703C"/>
    <w:rsid w:val="004F01AD"/>
    <w:rsid w:val="004F0817"/>
    <w:rsid w:val="004F0E1E"/>
    <w:rsid w:val="004F2582"/>
    <w:rsid w:val="004F2927"/>
    <w:rsid w:val="004F34A0"/>
    <w:rsid w:val="004F40B9"/>
    <w:rsid w:val="004F4200"/>
    <w:rsid w:val="004F4221"/>
    <w:rsid w:val="004F4778"/>
    <w:rsid w:val="004F4ACE"/>
    <w:rsid w:val="004F5580"/>
    <w:rsid w:val="004F56E2"/>
    <w:rsid w:val="004F5D36"/>
    <w:rsid w:val="004F5E6F"/>
    <w:rsid w:val="004F5E8C"/>
    <w:rsid w:val="004F61DE"/>
    <w:rsid w:val="004F6399"/>
    <w:rsid w:val="004F646B"/>
    <w:rsid w:val="004F64DF"/>
    <w:rsid w:val="004F695A"/>
    <w:rsid w:val="004F69A5"/>
    <w:rsid w:val="004F7332"/>
    <w:rsid w:val="004F7597"/>
    <w:rsid w:val="004F7FEC"/>
    <w:rsid w:val="0050133F"/>
    <w:rsid w:val="0050134B"/>
    <w:rsid w:val="00501E6D"/>
    <w:rsid w:val="0050290B"/>
    <w:rsid w:val="00502958"/>
    <w:rsid w:val="00502AB7"/>
    <w:rsid w:val="00502C53"/>
    <w:rsid w:val="005055FF"/>
    <w:rsid w:val="00505AFB"/>
    <w:rsid w:val="005064E3"/>
    <w:rsid w:val="005068F4"/>
    <w:rsid w:val="00506BE4"/>
    <w:rsid w:val="005071B6"/>
    <w:rsid w:val="00507CB5"/>
    <w:rsid w:val="00507DC9"/>
    <w:rsid w:val="005110EC"/>
    <w:rsid w:val="00511CFA"/>
    <w:rsid w:val="005127EA"/>
    <w:rsid w:val="00512AF8"/>
    <w:rsid w:val="00512C0D"/>
    <w:rsid w:val="0051398D"/>
    <w:rsid w:val="00513C96"/>
    <w:rsid w:val="00514339"/>
    <w:rsid w:val="00514F28"/>
    <w:rsid w:val="00515499"/>
    <w:rsid w:val="005168D7"/>
    <w:rsid w:val="0051729F"/>
    <w:rsid w:val="00517F4A"/>
    <w:rsid w:val="0052120A"/>
    <w:rsid w:val="0052125A"/>
    <w:rsid w:val="00522219"/>
    <w:rsid w:val="00523835"/>
    <w:rsid w:val="005248B1"/>
    <w:rsid w:val="00524BF0"/>
    <w:rsid w:val="00524EBF"/>
    <w:rsid w:val="00524EC0"/>
    <w:rsid w:val="005250E3"/>
    <w:rsid w:val="00525396"/>
    <w:rsid w:val="00525A7D"/>
    <w:rsid w:val="00526925"/>
    <w:rsid w:val="00526A9C"/>
    <w:rsid w:val="0052749F"/>
    <w:rsid w:val="00527C7F"/>
    <w:rsid w:val="00530955"/>
    <w:rsid w:val="005309E7"/>
    <w:rsid w:val="0053101C"/>
    <w:rsid w:val="00531532"/>
    <w:rsid w:val="005332A5"/>
    <w:rsid w:val="0053381C"/>
    <w:rsid w:val="005348AA"/>
    <w:rsid w:val="005348E0"/>
    <w:rsid w:val="005351E4"/>
    <w:rsid w:val="00535634"/>
    <w:rsid w:val="00535EA0"/>
    <w:rsid w:val="005365C7"/>
    <w:rsid w:val="005366FF"/>
    <w:rsid w:val="00536D4F"/>
    <w:rsid w:val="00536ED5"/>
    <w:rsid w:val="00537A17"/>
    <w:rsid w:val="00537C17"/>
    <w:rsid w:val="00540A49"/>
    <w:rsid w:val="005415D9"/>
    <w:rsid w:val="005422FD"/>
    <w:rsid w:val="00542611"/>
    <w:rsid w:val="005426DE"/>
    <w:rsid w:val="00542716"/>
    <w:rsid w:val="00543739"/>
    <w:rsid w:val="00544C00"/>
    <w:rsid w:val="00545553"/>
    <w:rsid w:val="005458BE"/>
    <w:rsid w:val="00545E76"/>
    <w:rsid w:val="005463EE"/>
    <w:rsid w:val="00551AE5"/>
    <w:rsid w:val="00551CF6"/>
    <w:rsid w:val="0055227D"/>
    <w:rsid w:val="00552EA0"/>
    <w:rsid w:val="0055463B"/>
    <w:rsid w:val="005546C2"/>
    <w:rsid w:val="00555310"/>
    <w:rsid w:val="0055661E"/>
    <w:rsid w:val="00557950"/>
    <w:rsid w:val="00557B48"/>
    <w:rsid w:val="005603DC"/>
    <w:rsid w:val="005605CD"/>
    <w:rsid w:val="00560DF7"/>
    <w:rsid w:val="005612BE"/>
    <w:rsid w:val="00562BBE"/>
    <w:rsid w:val="005646ED"/>
    <w:rsid w:val="005648C4"/>
    <w:rsid w:val="00564F5D"/>
    <w:rsid w:val="005653A9"/>
    <w:rsid w:val="005661AE"/>
    <w:rsid w:val="00567AF4"/>
    <w:rsid w:val="00570A60"/>
    <w:rsid w:val="0057135B"/>
    <w:rsid w:val="00571785"/>
    <w:rsid w:val="00571C60"/>
    <w:rsid w:val="00572097"/>
    <w:rsid w:val="00572B10"/>
    <w:rsid w:val="00572CD3"/>
    <w:rsid w:val="0057359B"/>
    <w:rsid w:val="00573C08"/>
    <w:rsid w:val="00574208"/>
    <w:rsid w:val="00574642"/>
    <w:rsid w:val="00574C57"/>
    <w:rsid w:val="005761D2"/>
    <w:rsid w:val="0057705B"/>
    <w:rsid w:val="0057772D"/>
    <w:rsid w:val="00577A6B"/>
    <w:rsid w:val="0058162C"/>
    <w:rsid w:val="00582B6D"/>
    <w:rsid w:val="00582C66"/>
    <w:rsid w:val="00583AD8"/>
    <w:rsid w:val="00583BEC"/>
    <w:rsid w:val="005851E2"/>
    <w:rsid w:val="00585574"/>
    <w:rsid w:val="0058561C"/>
    <w:rsid w:val="00585D5A"/>
    <w:rsid w:val="005866E2"/>
    <w:rsid w:val="00586EB9"/>
    <w:rsid w:val="00586F97"/>
    <w:rsid w:val="00587B2A"/>
    <w:rsid w:val="00591591"/>
    <w:rsid w:val="00592F66"/>
    <w:rsid w:val="00593427"/>
    <w:rsid w:val="0059360D"/>
    <w:rsid w:val="0059401D"/>
    <w:rsid w:val="00594D02"/>
    <w:rsid w:val="00595AA9"/>
    <w:rsid w:val="00595D5F"/>
    <w:rsid w:val="00595F37"/>
    <w:rsid w:val="00596D22"/>
    <w:rsid w:val="00596DBB"/>
    <w:rsid w:val="00597BBC"/>
    <w:rsid w:val="005A08FA"/>
    <w:rsid w:val="005A1433"/>
    <w:rsid w:val="005A1586"/>
    <w:rsid w:val="005A2137"/>
    <w:rsid w:val="005A2142"/>
    <w:rsid w:val="005A294B"/>
    <w:rsid w:val="005A2A33"/>
    <w:rsid w:val="005A3F82"/>
    <w:rsid w:val="005A42BA"/>
    <w:rsid w:val="005A49CA"/>
    <w:rsid w:val="005A5E1C"/>
    <w:rsid w:val="005A5FFE"/>
    <w:rsid w:val="005A6270"/>
    <w:rsid w:val="005A6A88"/>
    <w:rsid w:val="005A6D5A"/>
    <w:rsid w:val="005A6DE7"/>
    <w:rsid w:val="005A6DFF"/>
    <w:rsid w:val="005A7C9E"/>
    <w:rsid w:val="005B0302"/>
    <w:rsid w:val="005B1274"/>
    <w:rsid w:val="005B30D3"/>
    <w:rsid w:val="005B39C9"/>
    <w:rsid w:val="005B3F0B"/>
    <w:rsid w:val="005B463F"/>
    <w:rsid w:val="005B5130"/>
    <w:rsid w:val="005B5F55"/>
    <w:rsid w:val="005B7437"/>
    <w:rsid w:val="005B74D1"/>
    <w:rsid w:val="005C0213"/>
    <w:rsid w:val="005C0C44"/>
    <w:rsid w:val="005C1525"/>
    <w:rsid w:val="005C16A6"/>
    <w:rsid w:val="005C1912"/>
    <w:rsid w:val="005C330A"/>
    <w:rsid w:val="005C3655"/>
    <w:rsid w:val="005C4AC2"/>
    <w:rsid w:val="005C677E"/>
    <w:rsid w:val="005C678D"/>
    <w:rsid w:val="005C718C"/>
    <w:rsid w:val="005C7794"/>
    <w:rsid w:val="005D02D5"/>
    <w:rsid w:val="005D1288"/>
    <w:rsid w:val="005D1724"/>
    <w:rsid w:val="005D27E4"/>
    <w:rsid w:val="005D3175"/>
    <w:rsid w:val="005D349D"/>
    <w:rsid w:val="005D35A6"/>
    <w:rsid w:val="005D4BBF"/>
    <w:rsid w:val="005D5905"/>
    <w:rsid w:val="005D5A37"/>
    <w:rsid w:val="005D67BA"/>
    <w:rsid w:val="005E0D3E"/>
    <w:rsid w:val="005E0F96"/>
    <w:rsid w:val="005E166A"/>
    <w:rsid w:val="005E23E0"/>
    <w:rsid w:val="005E23F8"/>
    <w:rsid w:val="005E4549"/>
    <w:rsid w:val="005E62BF"/>
    <w:rsid w:val="005E7F20"/>
    <w:rsid w:val="005F03BB"/>
    <w:rsid w:val="005F088A"/>
    <w:rsid w:val="005F0E20"/>
    <w:rsid w:val="005F15D5"/>
    <w:rsid w:val="005F1CA9"/>
    <w:rsid w:val="005F28A8"/>
    <w:rsid w:val="005F2AA0"/>
    <w:rsid w:val="005F2EC7"/>
    <w:rsid w:val="005F4DA5"/>
    <w:rsid w:val="005F4E55"/>
    <w:rsid w:val="005F5856"/>
    <w:rsid w:val="005F5B67"/>
    <w:rsid w:val="005F63E5"/>
    <w:rsid w:val="005F65D3"/>
    <w:rsid w:val="005F6841"/>
    <w:rsid w:val="005F693A"/>
    <w:rsid w:val="005F7705"/>
    <w:rsid w:val="00600A09"/>
    <w:rsid w:val="00600CDC"/>
    <w:rsid w:val="00600E85"/>
    <w:rsid w:val="00601349"/>
    <w:rsid w:val="006018BD"/>
    <w:rsid w:val="00601AE3"/>
    <w:rsid w:val="00601CF8"/>
    <w:rsid w:val="00602AAB"/>
    <w:rsid w:val="00602EA4"/>
    <w:rsid w:val="006040FD"/>
    <w:rsid w:val="00604A1C"/>
    <w:rsid w:val="006050A9"/>
    <w:rsid w:val="006050C1"/>
    <w:rsid w:val="0060555D"/>
    <w:rsid w:val="00605A9B"/>
    <w:rsid w:val="00605BE7"/>
    <w:rsid w:val="00606790"/>
    <w:rsid w:val="00606D13"/>
    <w:rsid w:val="006071CA"/>
    <w:rsid w:val="00610775"/>
    <w:rsid w:val="00610D7B"/>
    <w:rsid w:val="00611E20"/>
    <w:rsid w:val="00612745"/>
    <w:rsid w:val="00614697"/>
    <w:rsid w:val="006146E4"/>
    <w:rsid w:val="00614ADF"/>
    <w:rsid w:val="00614ED7"/>
    <w:rsid w:val="0061583B"/>
    <w:rsid w:val="006160D0"/>
    <w:rsid w:val="00617007"/>
    <w:rsid w:val="00617FEF"/>
    <w:rsid w:val="00621262"/>
    <w:rsid w:val="00621756"/>
    <w:rsid w:val="00621EEB"/>
    <w:rsid w:val="00621F71"/>
    <w:rsid w:val="00621F93"/>
    <w:rsid w:val="00623C2A"/>
    <w:rsid w:val="00623E52"/>
    <w:rsid w:val="00624A2D"/>
    <w:rsid w:val="00626652"/>
    <w:rsid w:val="00626D05"/>
    <w:rsid w:val="0062705F"/>
    <w:rsid w:val="006277BE"/>
    <w:rsid w:val="006279C9"/>
    <w:rsid w:val="00627D64"/>
    <w:rsid w:val="006300A1"/>
    <w:rsid w:val="006313B6"/>
    <w:rsid w:val="00631870"/>
    <w:rsid w:val="00633960"/>
    <w:rsid w:val="006340A9"/>
    <w:rsid w:val="00634204"/>
    <w:rsid w:val="00634A9C"/>
    <w:rsid w:val="006370CB"/>
    <w:rsid w:val="006400F7"/>
    <w:rsid w:val="006412AF"/>
    <w:rsid w:val="006415E8"/>
    <w:rsid w:val="00641895"/>
    <w:rsid w:val="00641BCE"/>
    <w:rsid w:val="00644228"/>
    <w:rsid w:val="006449CE"/>
    <w:rsid w:val="00644F61"/>
    <w:rsid w:val="0064572D"/>
    <w:rsid w:val="00645CC2"/>
    <w:rsid w:val="006471EF"/>
    <w:rsid w:val="00647BB9"/>
    <w:rsid w:val="00651334"/>
    <w:rsid w:val="00651B27"/>
    <w:rsid w:val="006529DA"/>
    <w:rsid w:val="00653945"/>
    <w:rsid w:val="0065459E"/>
    <w:rsid w:val="00654704"/>
    <w:rsid w:val="006547E3"/>
    <w:rsid w:val="006553BA"/>
    <w:rsid w:val="00655F87"/>
    <w:rsid w:val="00656547"/>
    <w:rsid w:val="00657C8D"/>
    <w:rsid w:val="00657F83"/>
    <w:rsid w:val="00660038"/>
    <w:rsid w:val="006602F0"/>
    <w:rsid w:val="00660C94"/>
    <w:rsid w:val="0066140F"/>
    <w:rsid w:val="006632E1"/>
    <w:rsid w:val="00663398"/>
    <w:rsid w:val="0066339B"/>
    <w:rsid w:val="00664DEB"/>
    <w:rsid w:val="00664E14"/>
    <w:rsid w:val="0066510D"/>
    <w:rsid w:val="00665923"/>
    <w:rsid w:val="00667DAD"/>
    <w:rsid w:val="006703E8"/>
    <w:rsid w:val="00670C5C"/>
    <w:rsid w:val="00670D51"/>
    <w:rsid w:val="00670F0B"/>
    <w:rsid w:val="00671DD8"/>
    <w:rsid w:val="006723C2"/>
    <w:rsid w:val="006730DE"/>
    <w:rsid w:val="00673504"/>
    <w:rsid w:val="006739FB"/>
    <w:rsid w:val="006752A5"/>
    <w:rsid w:val="00675748"/>
    <w:rsid w:val="006759F5"/>
    <w:rsid w:val="00675C2E"/>
    <w:rsid w:val="0067757B"/>
    <w:rsid w:val="00680861"/>
    <w:rsid w:val="0068151A"/>
    <w:rsid w:val="0068335A"/>
    <w:rsid w:val="006833A2"/>
    <w:rsid w:val="006839F6"/>
    <w:rsid w:val="00683F01"/>
    <w:rsid w:val="00685376"/>
    <w:rsid w:val="006869FD"/>
    <w:rsid w:val="006872B2"/>
    <w:rsid w:val="00687B49"/>
    <w:rsid w:val="00691325"/>
    <w:rsid w:val="0069234E"/>
    <w:rsid w:val="00692BDC"/>
    <w:rsid w:val="00692C05"/>
    <w:rsid w:val="0069356B"/>
    <w:rsid w:val="00694049"/>
    <w:rsid w:val="00694895"/>
    <w:rsid w:val="00694F9B"/>
    <w:rsid w:val="00695383"/>
    <w:rsid w:val="00695AA5"/>
    <w:rsid w:val="00697746"/>
    <w:rsid w:val="00697EEA"/>
    <w:rsid w:val="006A05F1"/>
    <w:rsid w:val="006A0905"/>
    <w:rsid w:val="006A1237"/>
    <w:rsid w:val="006A24FE"/>
    <w:rsid w:val="006A26E4"/>
    <w:rsid w:val="006A3010"/>
    <w:rsid w:val="006A38FF"/>
    <w:rsid w:val="006A4E35"/>
    <w:rsid w:val="006A4E3F"/>
    <w:rsid w:val="006A53E1"/>
    <w:rsid w:val="006A53F2"/>
    <w:rsid w:val="006A5408"/>
    <w:rsid w:val="006A587A"/>
    <w:rsid w:val="006A62DA"/>
    <w:rsid w:val="006A7237"/>
    <w:rsid w:val="006A7555"/>
    <w:rsid w:val="006B14BD"/>
    <w:rsid w:val="006B210C"/>
    <w:rsid w:val="006B2B25"/>
    <w:rsid w:val="006B2CE4"/>
    <w:rsid w:val="006B3ED2"/>
    <w:rsid w:val="006B492C"/>
    <w:rsid w:val="006B4D7D"/>
    <w:rsid w:val="006B50F2"/>
    <w:rsid w:val="006B56D2"/>
    <w:rsid w:val="006B67BB"/>
    <w:rsid w:val="006B792C"/>
    <w:rsid w:val="006B7DFF"/>
    <w:rsid w:val="006C1375"/>
    <w:rsid w:val="006C13E2"/>
    <w:rsid w:val="006C1507"/>
    <w:rsid w:val="006C1BCD"/>
    <w:rsid w:val="006C242A"/>
    <w:rsid w:val="006C27EB"/>
    <w:rsid w:val="006C346C"/>
    <w:rsid w:val="006C46D6"/>
    <w:rsid w:val="006C50C3"/>
    <w:rsid w:val="006C58FD"/>
    <w:rsid w:val="006C734C"/>
    <w:rsid w:val="006D1B8D"/>
    <w:rsid w:val="006D2468"/>
    <w:rsid w:val="006D3DAC"/>
    <w:rsid w:val="006D483B"/>
    <w:rsid w:val="006D49FE"/>
    <w:rsid w:val="006D4AC9"/>
    <w:rsid w:val="006D4D4A"/>
    <w:rsid w:val="006D4F85"/>
    <w:rsid w:val="006D4F9D"/>
    <w:rsid w:val="006D5287"/>
    <w:rsid w:val="006D53C0"/>
    <w:rsid w:val="006D6315"/>
    <w:rsid w:val="006D640F"/>
    <w:rsid w:val="006D6B35"/>
    <w:rsid w:val="006D6E04"/>
    <w:rsid w:val="006D7648"/>
    <w:rsid w:val="006E0FA1"/>
    <w:rsid w:val="006E13DC"/>
    <w:rsid w:val="006E3188"/>
    <w:rsid w:val="006E3BB1"/>
    <w:rsid w:val="006E4502"/>
    <w:rsid w:val="006E4BFA"/>
    <w:rsid w:val="006E5D96"/>
    <w:rsid w:val="006E7A8A"/>
    <w:rsid w:val="006E7F69"/>
    <w:rsid w:val="006F155F"/>
    <w:rsid w:val="006F35FE"/>
    <w:rsid w:val="006F4819"/>
    <w:rsid w:val="006F51EF"/>
    <w:rsid w:val="006F5944"/>
    <w:rsid w:val="006F5A9D"/>
    <w:rsid w:val="006F5B22"/>
    <w:rsid w:val="006F6D00"/>
    <w:rsid w:val="006F7E1A"/>
    <w:rsid w:val="007000A6"/>
    <w:rsid w:val="007000E7"/>
    <w:rsid w:val="00701220"/>
    <w:rsid w:val="00702745"/>
    <w:rsid w:val="00703611"/>
    <w:rsid w:val="00704121"/>
    <w:rsid w:val="00704B98"/>
    <w:rsid w:val="00705583"/>
    <w:rsid w:val="00705838"/>
    <w:rsid w:val="00705B13"/>
    <w:rsid w:val="00706B26"/>
    <w:rsid w:val="00706EA6"/>
    <w:rsid w:val="00707E54"/>
    <w:rsid w:val="00710685"/>
    <w:rsid w:val="007112C4"/>
    <w:rsid w:val="00711A68"/>
    <w:rsid w:val="0071208A"/>
    <w:rsid w:val="0071290B"/>
    <w:rsid w:val="00712CA7"/>
    <w:rsid w:val="007148FC"/>
    <w:rsid w:val="007154B4"/>
    <w:rsid w:val="00717B01"/>
    <w:rsid w:val="0072211A"/>
    <w:rsid w:val="0072231F"/>
    <w:rsid w:val="007229ED"/>
    <w:rsid w:val="00723311"/>
    <w:rsid w:val="007234C5"/>
    <w:rsid w:val="007243F1"/>
    <w:rsid w:val="00724B5D"/>
    <w:rsid w:val="00725484"/>
    <w:rsid w:val="00725656"/>
    <w:rsid w:val="00725872"/>
    <w:rsid w:val="00725E32"/>
    <w:rsid w:val="007263E8"/>
    <w:rsid w:val="0072724C"/>
    <w:rsid w:val="00727418"/>
    <w:rsid w:val="007301E1"/>
    <w:rsid w:val="00730E5C"/>
    <w:rsid w:val="00730E60"/>
    <w:rsid w:val="00731FBA"/>
    <w:rsid w:val="0073280E"/>
    <w:rsid w:val="0073293A"/>
    <w:rsid w:val="00733E4C"/>
    <w:rsid w:val="00733EE5"/>
    <w:rsid w:val="00734326"/>
    <w:rsid w:val="00734329"/>
    <w:rsid w:val="00736017"/>
    <w:rsid w:val="0073653D"/>
    <w:rsid w:val="00736B5A"/>
    <w:rsid w:val="00736C49"/>
    <w:rsid w:val="0073794B"/>
    <w:rsid w:val="00737B2D"/>
    <w:rsid w:val="0074088E"/>
    <w:rsid w:val="00741AAC"/>
    <w:rsid w:val="00741AD1"/>
    <w:rsid w:val="007423F5"/>
    <w:rsid w:val="00743012"/>
    <w:rsid w:val="00744B5B"/>
    <w:rsid w:val="00744F98"/>
    <w:rsid w:val="00745D1F"/>
    <w:rsid w:val="00746D4C"/>
    <w:rsid w:val="00746EE6"/>
    <w:rsid w:val="00746FA2"/>
    <w:rsid w:val="00747180"/>
    <w:rsid w:val="0074726F"/>
    <w:rsid w:val="00747EAF"/>
    <w:rsid w:val="00747F69"/>
    <w:rsid w:val="007507FB"/>
    <w:rsid w:val="00751629"/>
    <w:rsid w:val="00751638"/>
    <w:rsid w:val="00752039"/>
    <w:rsid w:val="007521CA"/>
    <w:rsid w:val="00752532"/>
    <w:rsid w:val="0075308E"/>
    <w:rsid w:val="0075312B"/>
    <w:rsid w:val="0075366C"/>
    <w:rsid w:val="00754EE4"/>
    <w:rsid w:val="00755CD3"/>
    <w:rsid w:val="0075742F"/>
    <w:rsid w:val="00757B4E"/>
    <w:rsid w:val="00757BBB"/>
    <w:rsid w:val="00763D3C"/>
    <w:rsid w:val="00764041"/>
    <w:rsid w:val="007643D9"/>
    <w:rsid w:val="007656DB"/>
    <w:rsid w:val="00766BA2"/>
    <w:rsid w:val="0076743F"/>
    <w:rsid w:val="007676AC"/>
    <w:rsid w:val="00767976"/>
    <w:rsid w:val="00767A9F"/>
    <w:rsid w:val="0077002C"/>
    <w:rsid w:val="00770CEA"/>
    <w:rsid w:val="0077156D"/>
    <w:rsid w:val="00771C7B"/>
    <w:rsid w:val="0077213D"/>
    <w:rsid w:val="00772249"/>
    <w:rsid w:val="00772256"/>
    <w:rsid w:val="0077264D"/>
    <w:rsid w:val="00772BB3"/>
    <w:rsid w:val="00773640"/>
    <w:rsid w:val="007737BD"/>
    <w:rsid w:val="00773F4D"/>
    <w:rsid w:val="00774976"/>
    <w:rsid w:val="007755E3"/>
    <w:rsid w:val="00775C37"/>
    <w:rsid w:val="00775E7F"/>
    <w:rsid w:val="0077668F"/>
    <w:rsid w:val="0077703D"/>
    <w:rsid w:val="00777230"/>
    <w:rsid w:val="0077799B"/>
    <w:rsid w:val="007806BE"/>
    <w:rsid w:val="00781EA8"/>
    <w:rsid w:val="00782AF9"/>
    <w:rsid w:val="00782C55"/>
    <w:rsid w:val="0078510E"/>
    <w:rsid w:val="00786289"/>
    <w:rsid w:val="0078635D"/>
    <w:rsid w:val="0078682B"/>
    <w:rsid w:val="00786C94"/>
    <w:rsid w:val="00786CDB"/>
    <w:rsid w:val="007877E9"/>
    <w:rsid w:val="00787B60"/>
    <w:rsid w:val="00787DE2"/>
    <w:rsid w:val="007900AD"/>
    <w:rsid w:val="007902E7"/>
    <w:rsid w:val="00790554"/>
    <w:rsid w:val="00790660"/>
    <w:rsid w:val="00790745"/>
    <w:rsid w:val="00790C51"/>
    <w:rsid w:val="00790E48"/>
    <w:rsid w:val="00791C51"/>
    <w:rsid w:val="00791D90"/>
    <w:rsid w:val="00792033"/>
    <w:rsid w:val="007921A3"/>
    <w:rsid w:val="00792F84"/>
    <w:rsid w:val="007940DF"/>
    <w:rsid w:val="007A045F"/>
    <w:rsid w:val="007A0572"/>
    <w:rsid w:val="007A1440"/>
    <w:rsid w:val="007A2160"/>
    <w:rsid w:val="007A22F9"/>
    <w:rsid w:val="007A29DD"/>
    <w:rsid w:val="007A2BCB"/>
    <w:rsid w:val="007A3325"/>
    <w:rsid w:val="007A45F9"/>
    <w:rsid w:val="007A501A"/>
    <w:rsid w:val="007A50B7"/>
    <w:rsid w:val="007A5958"/>
    <w:rsid w:val="007A5B60"/>
    <w:rsid w:val="007A5B79"/>
    <w:rsid w:val="007A611B"/>
    <w:rsid w:val="007A6879"/>
    <w:rsid w:val="007A6A23"/>
    <w:rsid w:val="007A6F9A"/>
    <w:rsid w:val="007A70A9"/>
    <w:rsid w:val="007A7277"/>
    <w:rsid w:val="007A73FF"/>
    <w:rsid w:val="007A7804"/>
    <w:rsid w:val="007A7922"/>
    <w:rsid w:val="007B0179"/>
    <w:rsid w:val="007B0382"/>
    <w:rsid w:val="007B0537"/>
    <w:rsid w:val="007B087F"/>
    <w:rsid w:val="007B1648"/>
    <w:rsid w:val="007B1CC3"/>
    <w:rsid w:val="007B2550"/>
    <w:rsid w:val="007B3EB3"/>
    <w:rsid w:val="007B65E7"/>
    <w:rsid w:val="007B746B"/>
    <w:rsid w:val="007C02B7"/>
    <w:rsid w:val="007C1D27"/>
    <w:rsid w:val="007C1E67"/>
    <w:rsid w:val="007C213D"/>
    <w:rsid w:val="007C21C0"/>
    <w:rsid w:val="007C23CD"/>
    <w:rsid w:val="007C26FC"/>
    <w:rsid w:val="007C304C"/>
    <w:rsid w:val="007C394D"/>
    <w:rsid w:val="007C43BB"/>
    <w:rsid w:val="007C47F0"/>
    <w:rsid w:val="007C4AF4"/>
    <w:rsid w:val="007C5818"/>
    <w:rsid w:val="007C6B88"/>
    <w:rsid w:val="007D00F3"/>
    <w:rsid w:val="007D11C0"/>
    <w:rsid w:val="007D129A"/>
    <w:rsid w:val="007D1EC6"/>
    <w:rsid w:val="007D393A"/>
    <w:rsid w:val="007D4BA9"/>
    <w:rsid w:val="007D5013"/>
    <w:rsid w:val="007D54EA"/>
    <w:rsid w:val="007D5C98"/>
    <w:rsid w:val="007D67D6"/>
    <w:rsid w:val="007D6E95"/>
    <w:rsid w:val="007E0977"/>
    <w:rsid w:val="007E1B3E"/>
    <w:rsid w:val="007E2221"/>
    <w:rsid w:val="007E35E1"/>
    <w:rsid w:val="007E3F8B"/>
    <w:rsid w:val="007E4BA4"/>
    <w:rsid w:val="007E7DCF"/>
    <w:rsid w:val="007E7EAC"/>
    <w:rsid w:val="007F009B"/>
    <w:rsid w:val="007F05F0"/>
    <w:rsid w:val="007F1B85"/>
    <w:rsid w:val="007F221C"/>
    <w:rsid w:val="007F2FFA"/>
    <w:rsid w:val="007F322F"/>
    <w:rsid w:val="007F597E"/>
    <w:rsid w:val="007F5A2E"/>
    <w:rsid w:val="007F5C5B"/>
    <w:rsid w:val="007F63DE"/>
    <w:rsid w:val="007F68C4"/>
    <w:rsid w:val="007F6947"/>
    <w:rsid w:val="007F6EA0"/>
    <w:rsid w:val="007F7F04"/>
    <w:rsid w:val="00800390"/>
    <w:rsid w:val="00801735"/>
    <w:rsid w:val="008017D0"/>
    <w:rsid w:val="00801A11"/>
    <w:rsid w:val="00801CCF"/>
    <w:rsid w:val="00801E7B"/>
    <w:rsid w:val="0080246F"/>
    <w:rsid w:val="00802EAA"/>
    <w:rsid w:val="0080379E"/>
    <w:rsid w:val="0080386C"/>
    <w:rsid w:val="00803DB5"/>
    <w:rsid w:val="0080422B"/>
    <w:rsid w:val="008044EC"/>
    <w:rsid w:val="00804DD9"/>
    <w:rsid w:val="00805590"/>
    <w:rsid w:val="00805877"/>
    <w:rsid w:val="00806809"/>
    <w:rsid w:val="008068DC"/>
    <w:rsid w:val="0080753E"/>
    <w:rsid w:val="00807812"/>
    <w:rsid w:val="0080799C"/>
    <w:rsid w:val="0081078F"/>
    <w:rsid w:val="00811114"/>
    <w:rsid w:val="00811432"/>
    <w:rsid w:val="00811E4D"/>
    <w:rsid w:val="00812EF2"/>
    <w:rsid w:val="00815A5C"/>
    <w:rsid w:val="00816619"/>
    <w:rsid w:val="00816664"/>
    <w:rsid w:val="00820C9A"/>
    <w:rsid w:val="00820DA9"/>
    <w:rsid w:val="008225D5"/>
    <w:rsid w:val="008225F8"/>
    <w:rsid w:val="0082327C"/>
    <w:rsid w:val="0082405C"/>
    <w:rsid w:val="0082450B"/>
    <w:rsid w:val="00825CB8"/>
    <w:rsid w:val="008264FB"/>
    <w:rsid w:val="008270EE"/>
    <w:rsid w:val="00830506"/>
    <w:rsid w:val="0083064D"/>
    <w:rsid w:val="008309BB"/>
    <w:rsid w:val="00830FAC"/>
    <w:rsid w:val="00831BB8"/>
    <w:rsid w:val="008324B0"/>
    <w:rsid w:val="008331D9"/>
    <w:rsid w:val="00833260"/>
    <w:rsid w:val="00833367"/>
    <w:rsid w:val="008335AB"/>
    <w:rsid w:val="008338C1"/>
    <w:rsid w:val="00833CBF"/>
    <w:rsid w:val="00834E8D"/>
    <w:rsid w:val="008360E6"/>
    <w:rsid w:val="0083665E"/>
    <w:rsid w:val="00837338"/>
    <w:rsid w:val="00837EE1"/>
    <w:rsid w:val="00840104"/>
    <w:rsid w:val="00840675"/>
    <w:rsid w:val="00841D8C"/>
    <w:rsid w:val="00842645"/>
    <w:rsid w:val="0084275F"/>
    <w:rsid w:val="008429C2"/>
    <w:rsid w:val="0084437A"/>
    <w:rsid w:val="00844A4E"/>
    <w:rsid w:val="00845BE8"/>
    <w:rsid w:val="00846055"/>
    <w:rsid w:val="0084638D"/>
    <w:rsid w:val="00846847"/>
    <w:rsid w:val="008469C7"/>
    <w:rsid w:val="0084793D"/>
    <w:rsid w:val="00850B35"/>
    <w:rsid w:val="008519B4"/>
    <w:rsid w:val="00851FA1"/>
    <w:rsid w:val="00852752"/>
    <w:rsid w:val="00852C62"/>
    <w:rsid w:val="00853111"/>
    <w:rsid w:val="00854F6D"/>
    <w:rsid w:val="00855A72"/>
    <w:rsid w:val="00855D93"/>
    <w:rsid w:val="008564CE"/>
    <w:rsid w:val="00856DFE"/>
    <w:rsid w:val="008604AD"/>
    <w:rsid w:val="0086106B"/>
    <w:rsid w:val="00861C6D"/>
    <w:rsid w:val="00862527"/>
    <w:rsid w:val="00863F2E"/>
    <w:rsid w:val="00864078"/>
    <w:rsid w:val="00864481"/>
    <w:rsid w:val="0086501C"/>
    <w:rsid w:val="00867253"/>
    <w:rsid w:val="0086788C"/>
    <w:rsid w:val="0087059D"/>
    <w:rsid w:val="00870AD6"/>
    <w:rsid w:val="0087290A"/>
    <w:rsid w:val="00872AEA"/>
    <w:rsid w:val="008753A2"/>
    <w:rsid w:val="00877194"/>
    <w:rsid w:val="00877766"/>
    <w:rsid w:val="00880109"/>
    <w:rsid w:val="00880113"/>
    <w:rsid w:val="00880D32"/>
    <w:rsid w:val="008812C3"/>
    <w:rsid w:val="00881718"/>
    <w:rsid w:val="00881793"/>
    <w:rsid w:val="00881805"/>
    <w:rsid w:val="00882434"/>
    <w:rsid w:val="00882572"/>
    <w:rsid w:val="008828A4"/>
    <w:rsid w:val="00882910"/>
    <w:rsid w:val="008835B6"/>
    <w:rsid w:val="00883B54"/>
    <w:rsid w:val="00884177"/>
    <w:rsid w:val="008845B5"/>
    <w:rsid w:val="00885F3B"/>
    <w:rsid w:val="00885FF4"/>
    <w:rsid w:val="0088622C"/>
    <w:rsid w:val="008869F4"/>
    <w:rsid w:val="00886BEE"/>
    <w:rsid w:val="00890341"/>
    <w:rsid w:val="008904E7"/>
    <w:rsid w:val="00891E9E"/>
    <w:rsid w:val="00892947"/>
    <w:rsid w:val="008933C3"/>
    <w:rsid w:val="00894AE5"/>
    <w:rsid w:val="00894DEB"/>
    <w:rsid w:val="00895805"/>
    <w:rsid w:val="00895FB6"/>
    <w:rsid w:val="00896513"/>
    <w:rsid w:val="00897F0A"/>
    <w:rsid w:val="008A0ED3"/>
    <w:rsid w:val="008A19B6"/>
    <w:rsid w:val="008A3752"/>
    <w:rsid w:val="008A45EC"/>
    <w:rsid w:val="008A4F52"/>
    <w:rsid w:val="008A78EB"/>
    <w:rsid w:val="008A7A0B"/>
    <w:rsid w:val="008A7C6B"/>
    <w:rsid w:val="008B0094"/>
    <w:rsid w:val="008B0457"/>
    <w:rsid w:val="008B0739"/>
    <w:rsid w:val="008B179A"/>
    <w:rsid w:val="008B1C5F"/>
    <w:rsid w:val="008B2089"/>
    <w:rsid w:val="008B282E"/>
    <w:rsid w:val="008B4899"/>
    <w:rsid w:val="008B603A"/>
    <w:rsid w:val="008B6DAD"/>
    <w:rsid w:val="008B7268"/>
    <w:rsid w:val="008B7EFA"/>
    <w:rsid w:val="008C04C8"/>
    <w:rsid w:val="008C10FB"/>
    <w:rsid w:val="008C1167"/>
    <w:rsid w:val="008C18BF"/>
    <w:rsid w:val="008C19FB"/>
    <w:rsid w:val="008C2613"/>
    <w:rsid w:val="008C27B8"/>
    <w:rsid w:val="008C3054"/>
    <w:rsid w:val="008C3A0C"/>
    <w:rsid w:val="008C51A1"/>
    <w:rsid w:val="008C51ED"/>
    <w:rsid w:val="008C5957"/>
    <w:rsid w:val="008C6448"/>
    <w:rsid w:val="008C6EF6"/>
    <w:rsid w:val="008C7327"/>
    <w:rsid w:val="008C758B"/>
    <w:rsid w:val="008D2932"/>
    <w:rsid w:val="008D311B"/>
    <w:rsid w:val="008D33A0"/>
    <w:rsid w:val="008D354E"/>
    <w:rsid w:val="008D3601"/>
    <w:rsid w:val="008D544B"/>
    <w:rsid w:val="008D59DA"/>
    <w:rsid w:val="008D5A57"/>
    <w:rsid w:val="008D5E6A"/>
    <w:rsid w:val="008D6919"/>
    <w:rsid w:val="008D692D"/>
    <w:rsid w:val="008D7388"/>
    <w:rsid w:val="008D7E98"/>
    <w:rsid w:val="008E05EA"/>
    <w:rsid w:val="008E0CFB"/>
    <w:rsid w:val="008E0FD0"/>
    <w:rsid w:val="008E177C"/>
    <w:rsid w:val="008E23DB"/>
    <w:rsid w:val="008E2596"/>
    <w:rsid w:val="008E2EB2"/>
    <w:rsid w:val="008E3BDA"/>
    <w:rsid w:val="008E5727"/>
    <w:rsid w:val="008E57DC"/>
    <w:rsid w:val="008E6113"/>
    <w:rsid w:val="008E62D9"/>
    <w:rsid w:val="008E6E13"/>
    <w:rsid w:val="008E7083"/>
    <w:rsid w:val="008E7D62"/>
    <w:rsid w:val="008F0EA6"/>
    <w:rsid w:val="008F2713"/>
    <w:rsid w:val="008F34EA"/>
    <w:rsid w:val="008F37BE"/>
    <w:rsid w:val="008F37C4"/>
    <w:rsid w:val="008F3F33"/>
    <w:rsid w:val="008F4D23"/>
    <w:rsid w:val="008F59BC"/>
    <w:rsid w:val="008F5EAF"/>
    <w:rsid w:val="009001CC"/>
    <w:rsid w:val="00901B2F"/>
    <w:rsid w:val="00901D58"/>
    <w:rsid w:val="0090250D"/>
    <w:rsid w:val="0090321A"/>
    <w:rsid w:val="00903E24"/>
    <w:rsid w:val="0090463F"/>
    <w:rsid w:val="00904F00"/>
    <w:rsid w:val="00905A47"/>
    <w:rsid w:val="00905D35"/>
    <w:rsid w:val="0090744E"/>
    <w:rsid w:val="00907C45"/>
    <w:rsid w:val="00910F1D"/>
    <w:rsid w:val="0091100E"/>
    <w:rsid w:val="00912153"/>
    <w:rsid w:val="00912AC0"/>
    <w:rsid w:val="009142AF"/>
    <w:rsid w:val="00914623"/>
    <w:rsid w:val="00914C59"/>
    <w:rsid w:val="00915055"/>
    <w:rsid w:val="00915E38"/>
    <w:rsid w:val="0091614C"/>
    <w:rsid w:val="009164D3"/>
    <w:rsid w:val="00916EC0"/>
    <w:rsid w:val="0091717A"/>
    <w:rsid w:val="00917832"/>
    <w:rsid w:val="00917E34"/>
    <w:rsid w:val="00917F22"/>
    <w:rsid w:val="00917FAA"/>
    <w:rsid w:val="00920FA4"/>
    <w:rsid w:val="00922328"/>
    <w:rsid w:val="009227CE"/>
    <w:rsid w:val="00922E32"/>
    <w:rsid w:val="00922EDD"/>
    <w:rsid w:val="00922F20"/>
    <w:rsid w:val="009239ED"/>
    <w:rsid w:val="00924759"/>
    <w:rsid w:val="00926D15"/>
    <w:rsid w:val="00927DAC"/>
    <w:rsid w:val="00927FE8"/>
    <w:rsid w:val="009302F0"/>
    <w:rsid w:val="00930549"/>
    <w:rsid w:val="009314F8"/>
    <w:rsid w:val="00931E85"/>
    <w:rsid w:val="0093256F"/>
    <w:rsid w:val="00932612"/>
    <w:rsid w:val="00932D9D"/>
    <w:rsid w:val="009337DA"/>
    <w:rsid w:val="009338D5"/>
    <w:rsid w:val="00934C1C"/>
    <w:rsid w:val="0093544B"/>
    <w:rsid w:val="00935637"/>
    <w:rsid w:val="009376CE"/>
    <w:rsid w:val="00940B2F"/>
    <w:rsid w:val="00940D7E"/>
    <w:rsid w:val="00941C38"/>
    <w:rsid w:val="0094234B"/>
    <w:rsid w:val="0094289E"/>
    <w:rsid w:val="0094363C"/>
    <w:rsid w:val="00943896"/>
    <w:rsid w:val="00943F79"/>
    <w:rsid w:val="00944255"/>
    <w:rsid w:val="00945865"/>
    <w:rsid w:val="009470E3"/>
    <w:rsid w:val="009504A0"/>
    <w:rsid w:val="00952FEE"/>
    <w:rsid w:val="009534B4"/>
    <w:rsid w:val="00954141"/>
    <w:rsid w:val="009558DB"/>
    <w:rsid w:val="009568C0"/>
    <w:rsid w:val="00956F76"/>
    <w:rsid w:val="009576E1"/>
    <w:rsid w:val="0095777C"/>
    <w:rsid w:val="00957A89"/>
    <w:rsid w:val="00957EA0"/>
    <w:rsid w:val="00961BE6"/>
    <w:rsid w:val="00962DB4"/>
    <w:rsid w:val="00962E7D"/>
    <w:rsid w:val="00963D5D"/>
    <w:rsid w:val="0096441E"/>
    <w:rsid w:val="009645EE"/>
    <w:rsid w:val="00964793"/>
    <w:rsid w:val="00964D98"/>
    <w:rsid w:val="00964DD6"/>
    <w:rsid w:val="00964E60"/>
    <w:rsid w:val="00966250"/>
    <w:rsid w:val="00966FD1"/>
    <w:rsid w:val="0096797F"/>
    <w:rsid w:val="00970845"/>
    <w:rsid w:val="00971237"/>
    <w:rsid w:val="00972EBA"/>
    <w:rsid w:val="009738C1"/>
    <w:rsid w:val="00973F18"/>
    <w:rsid w:val="0097433A"/>
    <w:rsid w:val="00974597"/>
    <w:rsid w:val="009746D8"/>
    <w:rsid w:val="0097493E"/>
    <w:rsid w:val="009751BD"/>
    <w:rsid w:val="00976175"/>
    <w:rsid w:val="00976596"/>
    <w:rsid w:val="00976F8E"/>
    <w:rsid w:val="00977F87"/>
    <w:rsid w:val="00980358"/>
    <w:rsid w:val="00980A5A"/>
    <w:rsid w:val="00980CFB"/>
    <w:rsid w:val="00981B65"/>
    <w:rsid w:val="00982FEC"/>
    <w:rsid w:val="00984164"/>
    <w:rsid w:val="0098429F"/>
    <w:rsid w:val="00984372"/>
    <w:rsid w:val="009858C1"/>
    <w:rsid w:val="0098639C"/>
    <w:rsid w:val="00986587"/>
    <w:rsid w:val="00986B29"/>
    <w:rsid w:val="009875AC"/>
    <w:rsid w:val="00987A1E"/>
    <w:rsid w:val="00987A73"/>
    <w:rsid w:val="00990709"/>
    <w:rsid w:val="0099076C"/>
    <w:rsid w:val="0099098E"/>
    <w:rsid w:val="00993652"/>
    <w:rsid w:val="00993F7A"/>
    <w:rsid w:val="0099413F"/>
    <w:rsid w:val="0099496D"/>
    <w:rsid w:val="00995A06"/>
    <w:rsid w:val="00995A57"/>
    <w:rsid w:val="00996CE6"/>
    <w:rsid w:val="009970BD"/>
    <w:rsid w:val="0099797E"/>
    <w:rsid w:val="00997EE5"/>
    <w:rsid w:val="009A0E5F"/>
    <w:rsid w:val="009A0E93"/>
    <w:rsid w:val="009A10ED"/>
    <w:rsid w:val="009A1396"/>
    <w:rsid w:val="009A15FC"/>
    <w:rsid w:val="009A1E15"/>
    <w:rsid w:val="009A2A80"/>
    <w:rsid w:val="009A2A94"/>
    <w:rsid w:val="009A30FC"/>
    <w:rsid w:val="009A33F2"/>
    <w:rsid w:val="009A34F0"/>
    <w:rsid w:val="009A375F"/>
    <w:rsid w:val="009A3D70"/>
    <w:rsid w:val="009A3EAB"/>
    <w:rsid w:val="009A4213"/>
    <w:rsid w:val="009A4289"/>
    <w:rsid w:val="009A45E9"/>
    <w:rsid w:val="009A4F76"/>
    <w:rsid w:val="009A531C"/>
    <w:rsid w:val="009A61F8"/>
    <w:rsid w:val="009A662E"/>
    <w:rsid w:val="009A66CF"/>
    <w:rsid w:val="009A69C5"/>
    <w:rsid w:val="009A7D89"/>
    <w:rsid w:val="009A7E25"/>
    <w:rsid w:val="009B0C05"/>
    <w:rsid w:val="009B1936"/>
    <w:rsid w:val="009B2055"/>
    <w:rsid w:val="009B2E65"/>
    <w:rsid w:val="009B3024"/>
    <w:rsid w:val="009B3CB4"/>
    <w:rsid w:val="009B48B8"/>
    <w:rsid w:val="009B4F90"/>
    <w:rsid w:val="009B5160"/>
    <w:rsid w:val="009B54C9"/>
    <w:rsid w:val="009B586E"/>
    <w:rsid w:val="009B5B45"/>
    <w:rsid w:val="009B6616"/>
    <w:rsid w:val="009C001E"/>
    <w:rsid w:val="009C23F5"/>
    <w:rsid w:val="009C2B8E"/>
    <w:rsid w:val="009C2ED6"/>
    <w:rsid w:val="009C4AB8"/>
    <w:rsid w:val="009C5DC9"/>
    <w:rsid w:val="009C6A4D"/>
    <w:rsid w:val="009C73FE"/>
    <w:rsid w:val="009D06DF"/>
    <w:rsid w:val="009D0C4F"/>
    <w:rsid w:val="009D1BFC"/>
    <w:rsid w:val="009D1EFB"/>
    <w:rsid w:val="009D2582"/>
    <w:rsid w:val="009D2606"/>
    <w:rsid w:val="009D283D"/>
    <w:rsid w:val="009D305A"/>
    <w:rsid w:val="009D3AAB"/>
    <w:rsid w:val="009D4763"/>
    <w:rsid w:val="009D4978"/>
    <w:rsid w:val="009D5442"/>
    <w:rsid w:val="009D6A74"/>
    <w:rsid w:val="009D6F80"/>
    <w:rsid w:val="009E1EEE"/>
    <w:rsid w:val="009E2ADF"/>
    <w:rsid w:val="009E39B2"/>
    <w:rsid w:val="009E418D"/>
    <w:rsid w:val="009E44C8"/>
    <w:rsid w:val="009E4754"/>
    <w:rsid w:val="009E4B7D"/>
    <w:rsid w:val="009E4BE9"/>
    <w:rsid w:val="009E4C3A"/>
    <w:rsid w:val="009E4E49"/>
    <w:rsid w:val="009E5139"/>
    <w:rsid w:val="009E5881"/>
    <w:rsid w:val="009E659B"/>
    <w:rsid w:val="009E6D5F"/>
    <w:rsid w:val="009E7D01"/>
    <w:rsid w:val="009F24CA"/>
    <w:rsid w:val="009F2FF8"/>
    <w:rsid w:val="009F3A06"/>
    <w:rsid w:val="009F3C9D"/>
    <w:rsid w:val="009F47F1"/>
    <w:rsid w:val="009F51D1"/>
    <w:rsid w:val="009F544E"/>
    <w:rsid w:val="009F65FB"/>
    <w:rsid w:val="009F734C"/>
    <w:rsid w:val="009F7403"/>
    <w:rsid w:val="009F7E70"/>
    <w:rsid w:val="00A000A2"/>
    <w:rsid w:val="00A012C1"/>
    <w:rsid w:val="00A02360"/>
    <w:rsid w:val="00A037D6"/>
    <w:rsid w:val="00A04264"/>
    <w:rsid w:val="00A04632"/>
    <w:rsid w:val="00A05048"/>
    <w:rsid w:val="00A06F49"/>
    <w:rsid w:val="00A06FBB"/>
    <w:rsid w:val="00A07EA5"/>
    <w:rsid w:val="00A107FA"/>
    <w:rsid w:val="00A10E2F"/>
    <w:rsid w:val="00A11690"/>
    <w:rsid w:val="00A11AAB"/>
    <w:rsid w:val="00A11D3D"/>
    <w:rsid w:val="00A12A3B"/>
    <w:rsid w:val="00A13C7E"/>
    <w:rsid w:val="00A1419D"/>
    <w:rsid w:val="00A14306"/>
    <w:rsid w:val="00A1545D"/>
    <w:rsid w:val="00A15784"/>
    <w:rsid w:val="00A15FB0"/>
    <w:rsid w:val="00A204F5"/>
    <w:rsid w:val="00A20525"/>
    <w:rsid w:val="00A21137"/>
    <w:rsid w:val="00A222E5"/>
    <w:rsid w:val="00A22715"/>
    <w:rsid w:val="00A238AE"/>
    <w:rsid w:val="00A23D8A"/>
    <w:rsid w:val="00A23DAC"/>
    <w:rsid w:val="00A24848"/>
    <w:rsid w:val="00A2550C"/>
    <w:rsid w:val="00A26313"/>
    <w:rsid w:val="00A2657B"/>
    <w:rsid w:val="00A275D1"/>
    <w:rsid w:val="00A27634"/>
    <w:rsid w:val="00A30424"/>
    <w:rsid w:val="00A30829"/>
    <w:rsid w:val="00A31F28"/>
    <w:rsid w:val="00A33978"/>
    <w:rsid w:val="00A33FAE"/>
    <w:rsid w:val="00A345FB"/>
    <w:rsid w:val="00A34AA9"/>
    <w:rsid w:val="00A35F1E"/>
    <w:rsid w:val="00A36BAE"/>
    <w:rsid w:val="00A37605"/>
    <w:rsid w:val="00A40365"/>
    <w:rsid w:val="00A40DF6"/>
    <w:rsid w:val="00A426F2"/>
    <w:rsid w:val="00A4307D"/>
    <w:rsid w:val="00A450DE"/>
    <w:rsid w:val="00A450E0"/>
    <w:rsid w:val="00A45390"/>
    <w:rsid w:val="00A4548A"/>
    <w:rsid w:val="00A465FB"/>
    <w:rsid w:val="00A46DEB"/>
    <w:rsid w:val="00A4749C"/>
    <w:rsid w:val="00A479C8"/>
    <w:rsid w:val="00A50233"/>
    <w:rsid w:val="00A502EA"/>
    <w:rsid w:val="00A51284"/>
    <w:rsid w:val="00A51F5F"/>
    <w:rsid w:val="00A526E7"/>
    <w:rsid w:val="00A52D83"/>
    <w:rsid w:val="00A52DC0"/>
    <w:rsid w:val="00A52F08"/>
    <w:rsid w:val="00A53056"/>
    <w:rsid w:val="00A531D6"/>
    <w:rsid w:val="00A534F5"/>
    <w:rsid w:val="00A53F64"/>
    <w:rsid w:val="00A5419E"/>
    <w:rsid w:val="00A55D24"/>
    <w:rsid w:val="00A56DF5"/>
    <w:rsid w:val="00A5708D"/>
    <w:rsid w:val="00A57445"/>
    <w:rsid w:val="00A5798D"/>
    <w:rsid w:val="00A57D60"/>
    <w:rsid w:val="00A60CAB"/>
    <w:rsid w:val="00A62337"/>
    <w:rsid w:val="00A6257E"/>
    <w:rsid w:val="00A62C1C"/>
    <w:rsid w:val="00A6363C"/>
    <w:rsid w:val="00A63833"/>
    <w:rsid w:val="00A6388E"/>
    <w:rsid w:val="00A63FDB"/>
    <w:rsid w:val="00A64456"/>
    <w:rsid w:val="00A64826"/>
    <w:rsid w:val="00A64ECA"/>
    <w:rsid w:val="00A65122"/>
    <w:rsid w:val="00A65315"/>
    <w:rsid w:val="00A654A8"/>
    <w:rsid w:val="00A65FE0"/>
    <w:rsid w:val="00A66006"/>
    <w:rsid w:val="00A664BE"/>
    <w:rsid w:val="00A670AA"/>
    <w:rsid w:val="00A67B7E"/>
    <w:rsid w:val="00A67D5D"/>
    <w:rsid w:val="00A7017F"/>
    <w:rsid w:val="00A70F25"/>
    <w:rsid w:val="00A723EE"/>
    <w:rsid w:val="00A731F6"/>
    <w:rsid w:val="00A7332C"/>
    <w:rsid w:val="00A7360F"/>
    <w:rsid w:val="00A75B2E"/>
    <w:rsid w:val="00A761D1"/>
    <w:rsid w:val="00A77F0D"/>
    <w:rsid w:val="00A80192"/>
    <w:rsid w:val="00A808A7"/>
    <w:rsid w:val="00A831A2"/>
    <w:rsid w:val="00A83B41"/>
    <w:rsid w:val="00A84621"/>
    <w:rsid w:val="00A84818"/>
    <w:rsid w:val="00A85329"/>
    <w:rsid w:val="00A858FF"/>
    <w:rsid w:val="00A8756F"/>
    <w:rsid w:val="00A8796D"/>
    <w:rsid w:val="00A91397"/>
    <w:rsid w:val="00A9173A"/>
    <w:rsid w:val="00A91F06"/>
    <w:rsid w:val="00A92369"/>
    <w:rsid w:val="00A92909"/>
    <w:rsid w:val="00A9297C"/>
    <w:rsid w:val="00A94288"/>
    <w:rsid w:val="00A95842"/>
    <w:rsid w:val="00A95AE5"/>
    <w:rsid w:val="00A96821"/>
    <w:rsid w:val="00A96929"/>
    <w:rsid w:val="00AA103D"/>
    <w:rsid w:val="00AA1375"/>
    <w:rsid w:val="00AA17D3"/>
    <w:rsid w:val="00AA1B19"/>
    <w:rsid w:val="00AA278D"/>
    <w:rsid w:val="00AA3268"/>
    <w:rsid w:val="00AA345C"/>
    <w:rsid w:val="00AA3865"/>
    <w:rsid w:val="00AA48FD"/>
    <w:rsid w:val="00AA51F6"/>
    <w:rsid w:val="00AA55B8"/>
    <w:rsid w:val="00AA65E4"/>
    <w:rsid w:val="00AA6859"/>
    <w:rsid w:val="00AA76E3"/>
    <w:rsid w:val="00AB0BA8"/>
    <w:rsid w:val="00AB13D3"/>
    <w:rsid w:val="00AB1AE3"/>
    <w:rsid w:val="00AB1F8F"/>
    <w:rsid w:val="00AB2D68"/>
    <w:rsid w:val="00AB2E5A"/>
    <w:rsid w:val="00AB3874"/>
    <w:rsid w:val="00AB422D"/>
    <w:rsid w:val="00AB487E"/>
    <w:rsid w:val="00AB50B4"/>
    <w:rsid w:val="00AB557C"/>
    <w:rsid w:val="00AB6290"/>
    <w:rsid w:val="00AB6752"/>
    <w:rsid w:val="00AB6C46"/>
    <w:rsid w:val="00AB78E2"/>
    <w:rsid w:val="00AC16BA"/>
    <w:rsid w:val="00AC1B75"/>
    <w:rsid w:val="00AC2F0F"/>
    <w:rsid w:val="00AC2F92"/>
    <w:rsid w:val="00AC4EAF"/>
    <w:rsid w:val="00AC756E"/>
    <w:rsid w:val="00AC7574"/>
    <w:rsid w:val="00AD1080"/>
    <w:rsid w:val="00AD1D9E"/>
    <w:rsid w:val="00AD26B4"/>
    <w:rsid w:val="00AD2782"/>
    <w:rsid w:val="00AD2D4C"/>
    <w:rsid w:val="00AD595F"/>
    <w:rsid w:val="00AD5BC0"/>
    <w:rsid w:val="00AD5DEB"/>
    <w:rsid w:val="00AD5FCB"/>
    <w:rsid w:val="00AD6674"/>
    <w:rsid w:val="00AD69BC"/>
    <w:rsid w:val="00AD6F95"/>
    <w:rsid w:val="00AD6FC1"/>
    <w:rsid w:val="00AD70DB"/>
    <w:rsid w:val="00AD7601"/>
    <w:rsid w:val="00AE03AB"/>
    <w:rsid w:val="00AE0FCB"/>
    <w:rsid w:val="00AE1001"/>
    <w:rsid w:val="00AE106D"/>
    <w:rsid w:val="00AE1535"/>
    <w:rsid w:val="00AE3696"/>
    <w:rsid w:val="00AE3B71"/>
    <w:rsid w:val="00AE3D02"/>
    <w:rsid w:val="00AE40B6"/>
    <w:rsid w:val="00AE4E28"/>
    <w:rsid w:val="00AE6009"/>
    <w:rsid w:val="00AE6E43"/>
    <w:rsid w:val="00AE77D5"/>
    <w:rsid w:val="00AE79EC"/>
    <w:rsid w:val="00AF0DC8"/>
    <w:rsid w:val="00AF34C4"/>
    <w:rsid w:val="00AF3868"/>
    <w:rsid w:val="00AF38A6"/>
    <w:rsid w:val="00AF4428"/>
    <w:rsid w:val="00AF478C"/>
    <w:rsid w:val="00AF5BDE"/>
    <w:rsid w:val="00AF5DD8"/>
    <w:rsid w:val="00AF6452"/>
    <w:rsid w:val="00AF755B"/>
    <w:rsid w:val="00AF78B3"/>
    <w:rsid w:val="00AF7BA2"/>
    <w:rsid w:val="00B0035E"/>
    <w:rsid w:val="00B0191E"/>
    <w:rsid w:val="00B02252"/>
    <w:rsid w:val="00B059E3"/>
    <w:rsid w:val="00B064E0"/>
    <w:rsid w:val="00B06BD4"/>
    <w:rsid w:val="00B06EF9"/>
    <w:rsid w:val="00B07CC5"/>
    <w:rsid w:val="00B123A5"/>
    <w:rsid w:val="00B12623"/>
    <w:rsid w:val="00B12A86"/>
    <w:rsid w:val="00B12F0A"/>
    <w:rsid w:val="00B12F61"/>
    <w:rsid w:val="00B12FDE"/>
    <w:rsid w:val="00B130FF"/>
    <w:rsid w:val="00B13210"/>
    <w:rsid w:val="00B13DF6"/>
    <w:rsid w:val="00B14220"/>
    <w:rsid w:val="00B14E81"/>
    <w:rsid w:val="00B15229"/>
    <w:rsid w:val="00B152F2"/>
    <w:rsid w:val="00B15639"/>
    <w:rsid w:val="00B158D8"/>
    <w:rsid w:val="00B1595F"/>
    <w:rsid w:val="00B159CE"/>
    <w:rsid w:val="00B15F02"/>
    <w:rsid w:val="00B16302"/>
    <w:rsid w:val="00B16A6B"/>
    <w:rsid w:val="00B17831"/>
    <w:rsid w:val="00B20AB6"/>
    <w:rsid w:val="00B20BCD"/>
    <w:rsid w:val="00B21DFA"/>
    <w:rsid w:val="00B223FC"/>
    <w:rsid w:val="00B224B8"/>
    <w:rsid w:val="00B23508"/>
    <w:rsid w:val="00B23C33"/>
    <w:rsid w:val="00B24087"/>
    <w:rsid w:val="00B24530"/>
    <w:rsid w:val="00B2606F"/>
    <w:rsid w:val="00B2674E"/>
    <w:rsid w:val="00B274F1"/>
    <w:rsid w:val="00B30B18"/>
    <w:rsid w:val="00B30D68"/>
    <w:rsid w:val="00B32FB7"/>
    <w:rsid w:val="00B35A99"/>
    <w:rsid w:val="00B35DA5"/>
    <w:rsid w:val="00B35ECA"/>
    <w:rsid w:val="00B365A3"/>
    <w:rsid w:val="00B368B2"/>
    <w:rsid w:val="00B404CC"/>
    <w:rsid w:val="00B41208"/>
    <w:rsid w:val="00B427B1"/>
    <w:rsid w:val="00B435DF"/>
    <w:rsid w:val="00B43648"/>
    <w:rsid w:val="00B443FE"/>
    <w:rsid w:val="00B45C3F"/>
    <w:rsid w:val="00B46832"/>
    <w:rsid w:val="00B46C6E"/>
    <w:rsid w:val="00B47B82"/>
    <w:rsid w:val="00B50C53"/>
    <w:rsid w:val="00B51D8F"/>
    <w:rsid w:val="00B5279F"/>
    <w:rsid w:val="00B53157"/>
    <w:rsid w:val="00B53CB6"/>
    <w:rsid w:val="00B54A93"/>
    <w:rsid w:val="00B54AE7"/>
    <w:rsid w:val="00B54B5D"/>
    <w:rsid w:val="00B54C53"/>
    <w:rsid w:val="00B553FA"/>
    <w:rsid w:val="00B555E7"/>
    <w:rsid w:val="00B56472"/>
    <w:rsid w:val="00B570C0"/>
    <w:rsid w:val="00B57535"/>
    <w:rsid w:val="00B57A5A"/>
    <w:rsid w:val="00B60CC0"/>
    <w:rsid w:val="00B629F5"/>
    <w:rsid w:val="00B65995"/>
    <w:rsid w:val="00B65A82"/>
    <w:rsid w:val="00B67B04"/>
    <w:rsid w:val="00B70DDC"/>
    <w:rsid w:val="00B712E7"/>
    <w:rsid w:val="00B7277E"/>
    <w:rsid w:val="00B727C4"/>
    <w:rsid w:val="00B72F1C"/>
    <w:rsid w:val="00B72F84"/>
    <w:rsid w:val="00B76361"/>
    <w:rsid w:val="00B766A2"/>
    <w:rsid w:val="00B76C95"/>
    <w:rsid w:val="00B76E9C"/>
    <w:rsid w:val="00B803A6"/>
    <w:rsid w:val="00B80805"/>
    <w:rsid w:val="00B82B81"/>
    <w:rsid w:val="00B82F56"/>
    <w:rsid w:val="00B83F6E"/>
    <w:rsid w:val="00B83F9F"/>
    <w:rsid w:val="00B858F0"/>
    <w:rsid w:val="00B864D4"/>
    <w:rsid w:val="00B86A5F"/>
    <w:rsid w:val="00B8760E"/>
    <w:rsid w:val="00B910A1"/>
    <w:rsid w:val="00B9116E"/>
    <w:rsid w:val="00B9135E"/>
    <w:rsid w:val="00B92396"/>
    <w:rsid w:val="00B9289B"/>
    <w:rsid w:val="00B93FB9"/>
    <w:rsid w:val="00B95A3A"/>
    <w:rsid w:val="00B96BB3"/>
    <w:rsid w:val="00B97396"/>
    <w:rsid w:val="00B973B4"/>
    <w:rsid w:val="00B97942"/>
    <w:rsid w:val="00BA0184"/>
    <w:rsid w:val="00BA0A88"/>
    <w:rsid w:val="00BA0E81"/>
    <w:rsid w:val="00BA1B92"/>
    <w:rsid w:val="00BA263C"/>
    <w:rsid w:val="00BA3669"/>
    <w:rsid w:val="00BA3B8F"/>
    <w:rsid w:val="00BA53EB"/>
    <w:rsid w:val="00BA5967"/>
    <w:rsid w:val="00BA5F73"/>
    <w:rsid w:val="00BA6780"/>
    <w:rsid w:val="00BB0EAF"/>
    <w:rsid w:val="00BB1360"/>
    <w:rsid w:val="00BB1CFE"/>
    <w:rsid w:val="00BB240A"/>
    <w:rsid w:val="00BB2855"/>
    <w:rsid w:val="00BB2EF8"/>
    <w:rsid w:val="00BB32F5"/>
    <w:rsid w:val="00BB6214"/>
    <w:rsid w:val="00BB6D10"/>
    <w:rsid w:val="00BB7788"/>
    <w:rsid w:val="00BB7C06"/>
    <w:rsid w:val="00BC0A94"/>
    <w:rsid w:val="00BC0F4A"/>
    <w:rsid w:val="00BC151D"/>
    <w:rsid w:val="00BC25A1"/>
    <w:rsid w:val="00BC3DC5"/>
    <w:rsid w:val="00BC4FEC"/>
    <w:rsid w:val="00BC52BD"/>
    <w:rsid w:val="00BC5396"/>
    <w:rsid w:val="00BC5883"/>
    <w:rsid w:val="00BC5F09"/>
    <w:rsid w:val="00BC7306"/>
    <w:rsid w:val="00BD0578"/>
    <w:rsid w:val="00BD072C"/>
    <w:rsid w:val="00BD0F1B"/>
    <w:rsid w:val="00BD0FA5"/>
    <w:rsid w:val="00BD19B1"/>
    <w:rsid w:val="00BD22CD"/>
    <w:rsid w:val="00BD397E"/>
    <w:rsid w:val="00BD3B3A"/>
    <w:rsid w:val="00BD45A1"/>
    <w:rsid w:val="00BD4BB6"/>
    <w:rsid w:val="00BD4FA5"/>
    <w:rsid w:val="00BD50A0"/>
    <w:rsid w:val="00BD69BB"/>
    <w:rsid w:val="00BD712D"/>
    <w:rsid w:val="00BE0218"/>
    <w:rsid w:val="00BE1C74"/>
    <w:rsid w:val="00BE24EC"/>
    <w:rsid w:val="00BE40FF"/>
    <w:rsid w:val="00BE6289"/>
    <w:rsid w:val="00BE63BB"/>
    <w:rsid w:val="00BE793E"/>
    <w:rsid w:val="00BE7DB7"/>
    <w:rsid w:val="00BF0962"/>
    <w:rsid w:val="00BF0B22"/>
    <w:rsid w:val="00BF1DE2"/>
    <w:rsid w:val="00BF2532"/>
    <w:rsid w:val="00BF345D"/>
    <w:rsid w:val="00BF3B75"/>
    <w:rsid w:val="00BF4874"/>
    <w:rsid w:val="00BF5357"/>
    <w:rsid w:val="00BF5C1B"/>
    <w:rsid w:val="00BF61D2"/>
    <w:rsid w:val="00BF6365"/>
    <w:rsid w:val="00BF7251"/>
    <w:rsid w:val="00BF7399"/>
    <w:rsid w:val="00BF7F2F"/>
    <w:rsid w:val="00C00145"/>
    <w:rsid w:val="00C00642"/>
    <w:rsid w:val="00C00747"/>
    <w:rsid w:val="00C03259"/>
    <w:rsid w:val="00C03AFF"/>
    <w:rsid w:val="00C03B89"/>
    <w:rsid w:val="00C04583"/>
    <w:rsid w:val="00C0472E"/>
    <w:rsid w:val="00C04ECF"/>
    <w:rsid w:val="00C0581A"/>
    <w:rsid w:val="00C064BA"/>
    <w:rsid w:val="00C064FF"/>
    <w:rsid w:val="00C06B6A"/>
    <w:rsid w:val="00C06D46"/>
    <w:rsid w:val="00C07746"/>
    <w:rsid w:val="00C100B0"/>
    <w:rsid w:val="00C10E0B"/>
    <w:rsid w:val="00C111A7"/>
    <w:rsid w:val="00C12D00"/>
    <w:rsid w:val="00C12D6A"/>
    <w:rsid w:val="00C13904"/>
    <w:rsid w:val="00C1575D"/>
    <w:rsid w:val="00C16289"/>
    <w:rsid w:val="00C17082"/>
    <w:rsid w:val="00C2228C"/>
    <w:rsid w:val="00C226C2"/>
    <w:rsid w:val="00C23049"/>
    <w:rsid w:val="00C230B8"/>
    <w:rsid w:val="00C23238"/>
    <w:rsid w:val="00C23259"/>
    <w:rsid w:val="00C233AD"/>
    <w:rsid w:val="00C233CA"/>
    <w:rsid w:val="00C23553"/>
    <w:rsid w:val="00C2438C"/>
    <w:rsid w:val="00C24832"/>
    <w:rsid w:val="00C2484D"/>
    <w:rsid w:val="00C2514B"/>
    <w:rsid w:val="00C2688F"/>
    <w:rsid w:val="00C26A2E"/>
    <w:rsid w:val="00C26C65"/>
    <w:rsid w:val="00C27A92"/>
    <w:rsid w:val="00C27E7B"/>
    <w:rsid w:val="00C27EA0"/>
    <w:rsid w:val="00C31DE6"/>
    <w:rsid w:val="00C3246F"/>
    <w:rsid w:val="00C33CB4"/>
    <w:rsid w:val="00C34554"/>
    <w:rsid w:val="00C34D03"/>
    <w:rsid w:val="00C34ED3"/>
    <w:rsid w:val="00C36095"/>
    <w:rsid w:val="00C361BE"/>
    <w:rsid w:val="00C362E8"/>
    <w:rsid w:val="00C367F0"/>
    <w:rsid w:val="00C36BE0"/>
    <w:rsid w:val="00C37C68"/>
    <w:rsid w:val="00C37D1E"/>
    <w:rsid w:val="00C401AD"/>
    <w:rsid w:val="00C42A1C"/>
    <w:rsid w:val="00C42B6F"/>
    <w:rsid w:val="00C43B0A"/>
    <w:rsid w:val="00C442B4"/>
    <w:rsid w:val="00C446AE"/>
    <w:rsid w:val="00C447B3"/>
    <w:rsid w:val="00C45D8B"/>
    <w:rsid w:val="00C46017"/>
    <w:rsid w:val="00C46828"/>
    <w:rsid w:val="00C46DD1"/>
    <w:rsid w:val="00C47099"/>
    <w:rsid w:val="00C51483"/>
    <w:rsid w:val="00C5175E"/>
    <w:rsid w:val="00C51BEA"/>
    <w:rsid w:val="00C51BF7"/>
    <w:rsid w:val="00C5309C"/>
    <w:rsid w:val="00C5397E"/>
    <w:rsid w:val="00C53AD0"/>
    <w:rsid w:val="00C53FB5"/>
    <w:rsid w:val="00C54CE0"/>
    <w:rsid w:val="00C55E5F"/>
    <w:rsid w:val="00C55EAD"/>
    <w:rsid w:val="00C56873"/>
    <w:rsid w:val="00C56E02"/>
    <w:rsid w:val="00C57E72"/>
    <w:rsid w:val="00C57FAF"/>
    <w:rsid w:val="00C61C9C"/>
    <w:rsid w:val="00C61D2E"/>
    <w:rsid w:val="00C61D84"/>
    <w:rsid w:val="00C61E4B"/>
    <w:rsid w:val="00C625D5"/>
    <w:rsid w:val="00C63A8B"/>
    <w:rsid w:val="00C63C02"/>
    <w:rsid w:val="00C63D7C"/>
    <w:rsid w:val="00C65CC8"/>
    <w:rsid w:val="00C661A2"/>
    <w:rsid w:val="00C668BE"/>
    <w:rsid w:val="00C66B10"/>
    <w:rsid w:val="00C67A30"/>
    <w:rsid w:val="00C67E67"/>
    <w:rsid w:val="00C716E5"/>
    <w:rsid w:val="00C71D68"/>
    <w:rsid w:val="00C71DC7"/>
    <w:rsid w:val="00C73289"/>
    <w:rsid w:val="00C73EFB"/>
    <w:rsid w:val="00C73FC8"/>
    <w:rsid w:val="00C74915"/>
    <w:rsid w:val="00C75F68"/>
    <w:rsid w:val="00C764D0"/>
    <w:rsid w:val="00C76D9D"/>
    <w:rsid w:val="00C77553"/>
    <w:rsid w:val="00C77C19"/>
    <w:rsid w:val="00C801BA"/>
    <w:rsid w:val="00C805D9"/>
    <w:rsid w:val="00C80AC5"/>
    <w:rsid w:val="00C8131E"/>
    <w:rsid w:val="00C828F9"/>
    <w:rsid w:val="00C8298C"/>
    <w:rsid w:val="00C83CAF"/>
    <w:rsid w:val="00C84816"/>
    <w:rsid w:val="00C84A04"/>
    <w:rsid w:val="00C8570F"/>
    <w:rsid w:val="00C8688F"/>
    <w:rsid w:val="00C87753"/>
    <w:rsid w:val="00C91109"/>
    <w:rsid w:val="00C911A1"/>
    <w:rsid w:val="00C9177D"/>
    <w:rsid w:val="00C91A60"/>
    <w:rsid w:val="00C91DCB"/>
    <w:rsid w:val="00C92423"/>
    <w:rsid w:val="00C924A3"/>
    <w:rsid w:val="00C938EC"/>
    <w:rsid w:val="00C93E2B"/>
    <w:rsid w:val="00C93E91"/>
    <w:rsid w:val="00C942A2"/>
    <w:rsid w:val="00C94410"/>
    <w:rsid w:val="00C95C26"/>
    <w:rsid w:val="00C95E17"/>
    <w:rsid w:val="00C9651A"/>
    <w:rsid w:val="00C9677C"/>
    <w:rsid w:val="00C97F30"/>
    <w:rsid w:val="00CA0BA7"/>
    <w:rsid w:val="00CA12DD"/>
    <w:rsid w:val="00CA1550"/>
    <w:rsid w:val="00CA1C8E"/>
    <w:rsid w:val="00CA2E57"/>
    <w:rsid w:val="00CA3A3D"/>
    <w:rsid w:val="00CA55A4"/>
    <w:rsid w:val="00CA6111"/>
    <w:rsid w:val="00CA7A60"/>
    <w:rsid w:val="00CB15EF"/>
    <w:rsid w:val="00CB1B3E"/>
    <w:rsid w:val="00CB2E70"/>
    <w:rsid w:val="00CB370D"/>
    <w:rsid w:val="00CB3916"/>
    <w:rsid w:val="00CB3FE7"/>
    <w:rsid w:val="00CB49DE"/>
    <w:rsid w:val="00CB703A"/>
    <w:rsid w:val="00CB7353"/>
    <w:rsid w:val="00CC088D"/>
    <w:rsid w:val="00CC0A55"/>
    <w:rsid w:val="00CC0EE5"/>
    <w:rsid w:val="00CC10FE"/>
    <w:rsid w:val="00CC17F0"/>
    <w:rsid w:val="00CC18AE"/>
    <w:rsid w:val="00CC1A3A"/>
    <w:rsid w:val="00CC1BAE"/>
    <w:rsid w:val="00CC2839"/>
    <w:rsid w:val="00CC3CF7"/>
    <w:rsid w:val="00CC3ED2"/>
    <w:rsid w:val="00CC5604"/>
    <w:rsid w:val="00CC68FC"/>
    <w:rsid w:val="00CC6F22"/>
    <w:rsid w:val="00CC718D"/>
    <w:rsid w:val="00CC7419"/>
    <w:rsid w:val="00CD0E4B"/>
    <w:rsid w:val="00CD0FD4"/>
    <w:rsid w:val="00CD107A"/>
    <w:rsid w:val="00CD1724"/>
    <w:rsid w:val="00CD3B85"/>
    <w:rsid w:val="00CD52FC"/>
    <w:rsid w:val="00CD534B"/>
    <w:rsid w:val="00CD54D6"/>
    <w:rsid w:val="00CD55A8"/>
    <w:rsid w:val="00CD783A"/>
    <w:rsid w:val="00CE04F5"/>
    <w:rsid w:val="00CE06DA"/>
    <w:rsid w:val="00CE07D9"/>
    <w:rsid w:val="00CE0FA6"/>
    <w:rsid w:val="00CE18DC"/>
    <w:rsid w:val="00CE1B0B"/>
    <w:rsid w:val="00CE477C"/>
    <w:rsid w:val="00CE4EB7"/>
    <w:rsid w:val="00CE5C2F"/>
    <w:rsid w:val="00CE690A"/>
    <w:rsid w:val="00CE6BD1"/>
    <w:rsid w:val="00CF030D"/>
    <w:rsid w:val="00CF0842"/>
    <w:rsid w:val="00CF17E3"/>
    <w:rsid w:val="00CF1847"/>
    <w:rsid w:val="00CF194B"/>
    <w:rsid w:val="00CF1AFC"/>
    <w:rsid w:val="00CF2158"/>
    <w:rsid w:val="00CF2440"/>
    <w:rsid w:val="00CF2A63"/>
    <w:rsid w:val="00CF3CF5"/>
    <w:rsid w:val="00CF3F3C"/>
    <w:rsid w:val="00CF46BC"/>
    <w:rsid w:val="00CF53F0"/>
    <w:rsid w:val="00CF5E5E"/>
    <w:rsid w:val="00CF62BA"/>
    <w:rsid w:val="00CF667D"/>
    <w:rsid w:val="00CF6779"/>
    <w:rsid w:val="00CF6E2A"/>
    <w:rsid w:val="00CF7763"/>
    <w:rsid w:val="00D00AC2"/>
    <w:rsid w:val="00D0132F"/>
    <w:rsid w:val="00D01FBC"/>
    <w:rsid w:val="00D02A4D"/>
    <w:rsid w:val="00D02DE8"/>
    <w:rsid w:val="00D0348A"/>
    <w:rsid w:val="00D0450C"/>
    <w:rsid w:val="00D04C9A"/>
    <w:rsid w:val="00D053D0"/>
    <w:rsid w:val="00D06213"/>
    <w:rsid w:val="00D104CA"/>
    <w:rsid w:val="00D1067F"/>
    <w:rsid w:val="00D10880"/>
    <w:rsid w:val="00D10A61"/>
    <w:rsid w:val="00D11BB7"/>
    <w:rsid w:val="00D125ED"/>
    <w:rsid w:val="00D12DA8"/>
    <w:rsid w:val="00D12DC7"/>
    <w:rsid w:val="00D137CC"/>
    <w:rsid w:val="00D14182"/>
    <w:rsid w:val="00D15F31"/>
    <w:rsid w:val="00D1606E"/>
    <w:rsid w:val="00D160AF"/>
    <w:rsid w:val="00D175A7"/>
    <w:rsid w:val="00D17CEB"/>
    <w:rsid w:val="00D17F2C"/>
    <w:rsid w:val="00D204BB"/>
    <w:rsid w:val="00D211AE"/>
    <w:rsid w:val="00D21411"/>
    <w:rsid w:val="00D219D2"/>
    <w:rsid w:val="00D231B7"/>
    <w:rsid w:val="00D24C5F"/>
    <w:rsid w:val="00D26153"/>
    <w:rsid w:val="00D265A0"/>
    <w:rsid w:val="00D26DC4"/>
    <w:rsid w:val="00D275BB"/>
    <w:rsid w:val="00D303C4"/>
    <w:rsid w:val="00D30BCA"/>
    <w:rsid w:val="00D32036"/>
    <w:rsid w:val="00D3295B"/>
    <w:rsid w:val="00D32A0C"/>
    <w:rsid w:val="00D3308B"/>
    <w:rsid w:val="00D33235"/>
    <w:rsid w:val="00D3406A"/>
    <w:rsid w:val="00D35209"/>
    <w:rsid w:val="00D35950"/>
    <w:rsid w:val="00D35A7F"/>
    <w:rsid w:val="00D36FAA"/>
    <w:rsid w:val="00D377F2"/>
    <w:rsid w:val="00D37BD9"/>
    <w:rsid w:val="00D402E7"/>
    <w:rsid w:val="00D41652"/>
    <w:rsid w:val="00D416B2"/>
    <w:rsid w:val="00D439FE"/>
    <w:rsid w:val="00D43A6E"/>
    <w:rsid w:val="00D442D4"/>
    <w:rsid w:val="00D44B5D"/>
    <w:rsid w:val="00D4595F"/>
    <w:rsid w:val="00D46F12"/>
    <w:rsid w:val="00D47B04"/>
    <w:rsid w:val="00D52615"/>
    <w:rsid w:val="00D52DB9"/>
    <w:rsid w:val="00D52E4A"/>
    <w:rsid w:val="00D54DCE"/>
    <w:rsid w:val="00D5581C"/>
    <w:rsid w:val="00D56FB6"/>
    <w:rsid w:val="00D607B2"/>
    <w:rsid w:val="00D60DA7"/>
    <w:rsid w:val="00D60E0A"/>
    <w:rsid w:val="00D61872"/>
    <w:rsid w:val="00D62464"/>
    <w:rsid w:val="00D63A36"/>
    <w:rsid w:val="00D64FE2"/>
    <w:rsid w:val="00D65376"/>
    <w:rsid w:val="00D65660"/>
    <w:rsid w:val="00D65E74"/>
    <w:rsid w:val="00D6674D"/>
    <w:rsid w:val="00D66C1F"/>
    <w:rsid w:val="00D673CC"/>
    <w:rsid w:val="00D70C6F"/>
    <w:rsid w:val="00D71951"/>
    <w:rsid w:val="00D723A1"/>
    <w:rsid w:val="00D727B5"/>
    <w:rsid w:val="00D72992"/>
    <w:rsid w:val="00D745C8"/>
    <w:rsid w:val="00D75932"/>
    <w:rsid w:val="00D75BCD"/>
    <w:rsid w:val="00D76491"/>
    <w:rsid w:val="00D765A3"/>
    <w:rsid w:val="00D76773"/>
    <w:rsid w:val="00D768C1"/>
    <w:rsid w:val="00D76989"/>
    <w:rsid w:val="00D76DDA"/>
    <w:rsid w:val="00D76DF1"/>
    <w:rsid w:val="00D80296"/>
    <w:rsid w:val="00D822B3"/>
    <w:rsid w:val="00D828CD"/>
    <w:rsid w:val="00D8299B"/>
    <w:rsid w:val="00D8340C"/>
    <w:rsid w:val="00D83AAD"/>
    <w:rsid w:val="00D83ECC"/>
    <w:rsid w:val="00D84A7D"/>
    <w:rsid w:val="00D84F02"/>
    <w:rsid w:val="00D85447"/>
    <w:rsid w:val="00D85558"/>
    <w:rsid w:val="00D85847"/>
    <w:rsid w:val="00D85A72"/>
    <w:rsid w:val="00D86A7D"/>
    <w:rsid w:val="00D86FB6"/>
    <w:rsid w:val="00D91A91"/>
    <w:rsid w:val="00D92D18"/>
    <w:rsid w:val="00D9386C"/>
    <w:rsid w:val="00D93A7E"/>
    <w:rsid w:val="00D94179"/>
    <w:rsid w:val="00D947A2"/>
    <w:rsid w:val="00D96F04"/>
    <w:rsid w:val="00D970C5"/>
    <w:rsid w:val="00D97420"/>
    <w:rsid w:val="00D97841"/>
    <w:rsid w:val="00D97D1D"/>
    <w:rsid w:val="00D97FF3"/>
    <w:rsid w:val="00DA04CB"/>
    <w:rsid w:val="00DA07A6"/>
    <w:rsid w:val="00DA163F"/>
    <w:rsid w:val="00DA2A65"/>
    <w:rsid w:val="00DA31F4"/>
    <w:rsid w:val="00DA4561"/>
    <w:rsid w:val="00DA47BE"/>
    <w:rsid w:val="00DA5901"/>
    <w:rsid w:val="00DA7290"/>
    <w:rsid w:val="00DA73F7"/>
    <w:rsid w:val="00DB03B9"/>
    <w:rsid w:val="00DB0540"/>
    <w:rsid w:val="00DB1380"/>
    <w:rsid w:val="00DB2D32"/>
    <w:rsid w:val="00DB36AC"/>
    <w:rsid w:val="00DB4289"/>
    <w:rsid w:val="00DB4A31"/>
    <w:rsid w:val="00DB56F7"/>
    <w:rsid w:val="00DB5FCB"/>
    <w:rsid w:val="00DB731F"/>
    <w:rsid w:val="00DB7827"/>
    <w:rsid w:val="00DB7FED"/>
    <w:rsid w:val="00DC0085"/>
    <w:rsid w:val="00DC0174"/>
    <w:rsid w:val="00DC0554"/>
    <w:rsid w:val="00DC0583"/>
    <w:rsid w:val="00DC0DFC"/>
    <w:rsid w:val="00DC19CE"/>
    <w:rsid w:val="00DC1C5A"/>
    <w:rsid w:val="00DC350E"/>
    <w:rsid w:val="00DC3713"/>
    <w:rsid w:val="00DC4376"/>
    <w:rsid w:val="00DC4EA9"/>
    <w:rsid w:val="00DC4F57"/>
    <w:rsid w:val="00DC522F"/>
    <w:rsid w:val="00DC52BF"/>
    <w:rsid w:val="00DC59DD"/>
    <w:rsid w:val="00DC6552"/>
    <w:rsid w:val="00DC6865"/>
    <w:rsid w:val="00DC7F38"/>
    <w:rsid w:val="00DD049E"/>
    <w:rsid w:val="00DD097A"/>
    <w:rsid w:val="00DD0A11"/>
    <w:rsid w:val="00DD11F3"/>
    <w:rsid w:val="00DD15A1"/>
    <w:rsid w:val="00DD1C06"/>
    <w:rsid w:val="00DD20B2"/>
    <w:rsid w:val="00DD21A5"/>
    <w:rsid w:val="00DD24C8"/>
    <w:rsid w:val="00DD2FFC"/>
    <w:rsid w:val="00DD313A"/>
    <w:rsid w:val="00DD3D2B"/>
    <w:rsid w:val="00DD5A6E"/>
    <w:rsid w:val="00DD5F5C"/>
    <w:rsid w:val="00DD6280"/>
    <w:rsid w:val="00DE152A"/>
    <w:rsid w:val="00DE15BB"/>
    <w:rsid w:val="00DE1BD8"/>
    <w:rsid w:val="00DE1C07"/>
    <w:rsid w:val="00DE316F"/>
    <w:rsid w:val="00DE37CC"/>
    <w:rsid w:val="00DE3AA5"/>
    <w:rsid w:val="00DE3DD7"/>
    <w:rsid w:val="00DE4E3C"/>
    <w:rsid w:val="00DE5F42"/>
    <w:rsid w:val="00DF0BFE"/>
    <w:rsid w:val="00DF0FED"/>
    <w:rsid w:val="00DF122F"/>
    <w:rsid w:val="00DF1D50"/>
    <w:rsid w:val="00DF2D99"/>
    <w:rsid w:val="00DF2F99"/>
    <w:rsid w:val="00DF338A"/>
    <w:rsid w:val="00DF3C38"/>
    <w:rsid w:val="00DF3E3B"/>
    <w:rsid w:val="00DF4A42"/>
    <w:rsid w:val="00DF5055"/>
    <w:rsid w:val="00DF52B4"/>
    <w:rsid w:val="00DF5E1D"/>
    <w:rsid w:val="00DF5EF7"/>
    <w:rsid w:val="00DF65F8"/>
    <w:rsid w:val="00DF662C"/>
    <w:rsid w:val="00DF662D"/>
    <w:rsid w:val="00E001AE"/>
    <w:rsid w:val="00E01D22"/>
    <w:rsid w:val="00E03613"/>
    <w:rsid w:val="00E03841"/>
    <w:rsid w:val="00E03CCF"/>
    <w:rsid w:val="00E04273"/>
    <w:rsid w:val="00E0488A"/>
    <w:rsid w:val="00E05121"/>
    <w:rsid w:val="00E056B6"/>
    <w:rsid w:val="00E06B98"/>
    <w:rsid w:val="00E075C6"/>
    <w:rsid w:val="00E07B6A"/>
    <w:rsid w:val="00E07D81"/>
    <w:rsid w:val="00E07E2F"/>
    <w:rsid w:val="00E104A8"/>
    <w:rsid w:val="00E117FC"/>
    <w:rsid w:val="00E11F10"/>
    <w:rsid w:val="00E11FD2"/>
    <w:rsid w:val="00E1279D"/>
    <w:rsid w:val="00E12846"/>
    <w:rsid w:val="00E12A41"/>
    <w:rsid w:val="00E140C8"/>
    <w:rsid w:val="00E1418E"/>
    <w:rsid w:val="00E14277"/>
    <w:rsid w:val="00E14C79"/>
    <w:rsid w:val="00E14CC2"/>
    <w:rsid w:val="00E14E9A"/>
    <w:rsid w:val="00E14F12"/>
    <w:rsid w:val="00E15FA6"/>
    <w:rsid w:val="00E16638"/>
    <w:rsid w:val="00E17DA8"/>
    <w:rsid w:val="00E17F11"/>
    <w:rsid w:val="00E207AF"/>
    <w:rsid w:val="00E226E0"/>
    <w:rsid w:val="00E22C79"/>
    <w:rsid w:val="00E24226"/>
    <w:rsid w:val="00E24C1F"/>
    <w:rsid w:val="00E25181"/>
    <w:rsid w:val="00E256E8"/>
    <w:rsid w:val="00E25D56"/>
    <w:rsid w:val="00E25FEE"/>
    <w:rsid w:val="00E26392"/>
    <w:rsid w:val="00E266E6"/>
    <w:rsid w:val="00E26D0C"/>
    <w:rsid w:val="00E27C25"/>
    <w:rsid w:val="00E303BB"/>
    <w:rsid w:val="00E30D7C"/>
    <w:rsid w:val="00E33EC3"/>
    <w:rsid w:val="00E34686"/>
    <w:rsid w:val="00E35408"/>
    <w:rsid w:val="00E35C2E"/>
    <w:rsid w:val="00E361C7"/>
    <w:rsid w:val="00E365C4"/>
    <w:rsid w:val="00E36902"/>
    <w:rsid w:val="00E36E0D"/>
    <w:rsid w:val="00E403CA"/>
    <w:rsid w:val="00E40B1A"/>
    <w:rsid w:val="00E4196F"/>
    <w:rsid w:val="00E42F94"/>
    <w:rsid w:val="00E43B06"/>
    <w:rsid w:val="00E44B69"/>
    <w:rsid w:val="00E44B8E"/>
    <w:rsid w:val="00E454C7"/>
    <w:rsid w:val="00E45ABB"/>
    <w:rsid w:val="00E45D0D"/>
    <w:rsid w:val="00E45F62"/>
    <w:rsid w:val="00E46277"/>
    <w:rsid w:val="00E50DF1"/>
    <w:rsid w:val="00E52A2C"/>
    <w:rsid w:val="00E52F90"/>
    <w:rsid w:val="00E53EC1"/>
    <w:rsid w:val="00E541E9"/>
    <w:rsid w:val="00E543B9"/>
    <w:rsid w:val="00E54DB2"/>
    <w:rsid w:val="00E55083"/>
    <w:rsid w:val="00E553B4"/>
    <w:rsid w:val="00E568DC"/>
    <w:rsid w:val="00E56CBA"/>
    <w:rsid w:val="00E60182"/>
    <w:rsid w:val="00E60E03"/>
    <w:rsid w:val="00E62939"/>
    <w:rsid w:val="00E62CE6"/>
    <w:rsid w:val="00E63B88"/>
    <w:rsid w:val="00E63E0F"/>
    <w:rsid w:val="00E64D06"/>
    <w:rsid w:val="00E65097"/>
    <w:rsid w:val="00E652C2"/>
    <w:rsid w:val="00E6554F"/>
    <w:rsid w:val="00E65B82"/>
    <w:rsid w:val="00E6630E"/>
    <w:rsid w:val="00E675AC"/>
    <w:rsid w:val="00E67C64"/>
    <w:rsid w:val="00E67CBB"/>
    <w:rsid w:val="00E705E7"/>
    <w:rsid w:val="00E7126F"/>
    <w:rsid w:val="00E71475"/>
    <w:rsid w:val="00E71856"/>
    <w:rsid w:val="00E722CD"/>
    <w:rsid w:val="00E731CD"/>
    <w:rsid w:val="00E7320B"/>
    <w:rsid w:val="00E73CEC"/>
    <w:rsid w:val="00E73FB3"/>
    <w:rsid w:val="00E7413B"/>
    <w:rsid w:val="00E74394"/>
    <w:rsid w:val="00E74430"/>
    <w:rsid w:val="00E74D9A"/>
    <w:rsid w:val="00E74F10"/>
    <w:rsid w:val="00E75EC6"/>
    <w:rsid w:val="00E77B3B"/>
    <w:rsid w:val="00E77E0F"/>
    <w:rsid w:val="00E81DE9"/>
    <w:rsid w:val="00E81E8A"/>
    <w:rsid w:val="00E82AF9"/>
    <w:rsid w:val="00E838D6"/>
    <w:rsid w:val="00E83914"/>
    <w:rsid w:val="00E839C0"/>
    <w:rsid w:val="00E85819"/>
    <w:rsid w:val="00E864F1"/>
    <w:rsid w:val="00E86BF9"/>
    <w:rsid w:val="00E86E75"/>
    <w:rsid w:val="00E87418"/>
    <w:rsid w:val="00E87451"/>
    <w:rsid w:val="00E90216"/>
    <w:rsid w:val="00E9078D"/>
    <w:rsid w:val="00E91092"/>
    <w:rsid w:val="00E92560"/>
    <w:rsid w:val="00E931BF"/>
    <w:rsid w:val="00E933C1"/>
    <w:rsid w:val="00E93585"/>
    <w:rsid w:val="00E93790"/>
    <w:rsid w:val="00E955EF"/>
    <w:rsid w:val="00E95F10"/>
    <w:rsid w:val="00E96186"/>
    <w:rsid w:val="00E9799A"/>
    <w:rsid w:val="00EA0318"/>
    <w:rsid w:val="00EA0613"/>
    <w:rsid w:val="00EA1555"/>
    <w:rsid w:val="00EA2588"/>
    <w:rsid w:val="00EA3060"/>
    <w:rsid w:val="00EA372F"/>
    <w:rsid w:val="00EA3B2B"/>
    <w:rsid w:val="00EA566F"/>
    <w:rsid w:val="00EA595C"/>
    <w:rsid w:val="00EA5B6B"/>
    <w:rsid w:val="00EA6092"/>
    <w:rsid w:val="00EA6903"/>
    <w:rsid w:val="00EA78E4"/>
    <w:rsid w:val="00EA7B9F"/>
    <w:rsid w:val="00EB097C"/>
    <w:rsid w:val="00EB0F20"/>
    <w:rsid w:val="00EB10D0"/>
    <w:rsid w:val="00EB17A4"/>
    <w:rsid w:val="00EB1EF5"/>
    <w:rsid w:val="00EB27A3"/>
    <w:rsid w:val="00EB2826"/>
    <w:rsid w:val="00EB367F"/>
    <w:rsid w:val="00EB371F"/>
    <w:rsid w:val="00EB3B99"/>
    <w:rsid w:val="00EB3DB7"/>
    <w:rsid w:val="00EB415B"/>
    <w:rsid w:val="00EB4660"/>
    <w:rsid w:val="00EB5491"/>
    <w:rsid w:val="00EB57AE"/>
    <w:rsid w:val="00EB5D72"/>
    <w:rsid w:val="00EB5DF8"/>
    <w:rsid w:val="00EB5E37"/>
    <w:rsid w:val="00EB6507"/>
    <w:rsid w:val="00EB77BC"/>
    <w:rsid w:val="00EC2ADC"/>
    <w:rsid w:val="00EC2ADE"/>
    <w:rsid w:val="00EC31F4"/>
    <w:rsid w:val="00EC3BDD"/>
    <w:rsid w:val="00EC3FD1"/>
    <w:rsid w:val="00EC42AE"/>
    <w:rsid w:val="00EC485F"/>
    <w:rsid w:val="00EC4D0F"/>
    <w:rsid w:val="00EC5CA3"/>
    <w:rsid w:val="00EC68D5"/>
    <w:rsid w:val="00EC7BBD"/>
    <w:rsid w:val="00EC7BDC"/>
    <w:rsid w:val="00ED0779"/>
    <w:rsid w:val="00ED206F"/>
    <w:rsid w:val="00ED2A29"/>
    <w:rsid w:val="00ED2EB2"/>
    <w:rsid w:val="00ED30AD"/>
    <w:rsid w:val="00ED315E"/>
    <w:rsid w:val="00ED3832"/>
    <w:rsid w:val="00ED3C75"/>
    <w:rsid w:val="00ED6717"/>
    <w:rsid w:val="00ED6B52"/>
    <w:rsid w:val="00ED6CE4"/>
    <w:rsid w:val="00ED6D62"/>
    <w:rsid w:val="00EE00AD"/>
    <w:rsid w:val="00EE06E0"/>
    <w:rsid w:val="00EE083D"/>
    <w:rsid w:val="00EE0B6A"/>
    <w:rsid w:val="00EE10C9"/>
    <w:rsid w:val="00EE1585"/>
    <w:rsid w:val="00EE1A23"/>
    <w:rsid w:val="00EE2124"/>
    <w:rsid w:val="00EE21BF"/>
    <w:rsid w:val="00EE27D7"/>
    <w:rsid w:val="00EE2D10"/>
    <w:rsid w:val="00EE3037"/>
    <w:rsid w:val="00EE3505"/>
    <w:rsid w:val="00EE3C2E"/>
    <w:rsid w:val="00EE3CBC"/>
    <w:rsid w:val="00EE4954"/>
    <w:rsid w:val="00EE6545"/>
    <w:rsid w:val="00EE6B01"/>
    <w:rsid w:val="00EE6E6A"/>
    <w:rsid w:val="00EE7526"/>
    <w:rsid w:val="00EF0AE4"/>
    <w:rsid w:val="00EF2E6F"/>
    <w:rsid w:val="00EF3927"/>
    <w:rsid w:val="00EF4DA6"/>
    <w:rsid w:val="00EF5F69"/>
    <w:rsid w:val="00EF67A4"/>
    <w:rsid w:val="00EF6DED"/>
    <w:rsid w:val="00EF6F92"/>
    <w:rsid w:val="00EF6FA9"/>
    <w:rsid w:val="00EF7555"/>
    <w:rsid w:val="00EF7E6B"/>
    <w:rsid w:val="00F0313C"/>
    <w:rsid w:val="00F04363"/>
    <w:rsid w:val="00F051F4"/>
    <w:rsid w:val="00F058CE"/>
    <w:rsid w:val="00F1014A"/>
    <w:rsid w:val="00F12B2E"/>
    <w:rsid w:val="00F138C3"/>
    <w:rsid w:val="00F14A84"/>
    <w:rsid w:val="00F14F6A"/>
    <w:rsid w:val="00F15551"/>
    <w:rsid w:val="00F1697B"/>
    <w:rsid w:val="00F16CA4"/>
    <w:rsid w:val="00F20F66"/>
    <w:rsid w:val="00F213FE"/>
    <w:rsid w:val="00F21490"/>
    <w:rsid w:val="00F22BDA"/>
    <w:rsid w:val="00F22F60"/>
    <w:rsid w:val="00F233FA"/>
    <w:rsid w:val="00F23C78"/>
    <w:rsid w:val="00F246CE"/>
    <w:rsid w:val="00F25613"/>
    <w:rsid w:val="00F25DC3"/>
    <w:rsid w:val="00F270B3"/>
    <w:rsid w:val="00F275B0"/>
    <w:rsid w:val="00F27F02"/>
    <w:rsid w:val="00F30327"/>
    <w:rsid w:val="00F31135"/>
    <w:rsid w:val="00F313B3"/>
    <w:rsid w:val="00F313C1"/>
    <w:rsid w:val="00F316A5"/>
    <w:rsid w:val="00F32E22"/>
    <w:rsid w:val="00F32EFF"/>
    <w:rsid w:val="00F3477A"/>
    <w:rsid w:val="00F3522E"/>
    <w:rsid w:val="00F3689F"/>
    <w:rsid w:val="00F36D0E"/>
    <w:rsid w:val="00F36EA7"/>
    <w:rsid w:val="00F405EC"/>
    <w:rsid w:val="00F4088D"/>
    <w:rsid w:val="00F421B7"/>
    <w:rsid w:val="00F42AAE"/>
    <w:rsid w:val="00F42DB4"/>
    <w:rsid w:val="00F43BA5"/>
    <w:rsid w:val="00F4455B"/>
    <w:rsid w:val="00F44D06"/>
    <w:rsid w:val="00F44E27"/>
    <w:rsid w:val="00F4562C"/>
    <w:rsid w:val="00F456C0"/>
    <w:rsid w:val="00F46307"/>
    <w:rsid w:val="00F463A9"/>
    <w:rsid w:val="00F46450"/>
    <w:rsid w:val="00F4736F"/>
    <w:rsid w:val="00F47CD0"/>
    <w:rsid w:val="00F50002"/>
    <w:rsid w:val="00F5092D"/>
    <w:rsid w:val="00F514BE"/>
    <w:rsid w:val="00F51528"/>
    <w:rsid w:val="00F52145"/>
    <w:rsid w:val="00F52282"/>
    <w:rsid w:val="00F527CC"/>
    <w:rsid w:val="00F52C86"/>
    <w:rsid w:val="00F52F4A"/>
    <w:rsid w:val="00F5314D"/>
    <w:rsid w:val="00F534C6"/>
    <w:rsid w:val="00F53B09"/>
    <w:rsid w:val="00F552D0"/>
    <w:rsid w:val="00F558FF"/>
    <w:rsid w:val="00F55F72"/>
    <w:rsid w:val="00F570D7"/>
    <w:rsid w:val="00F57DC9"/>
    <w:rsid w:val="00F60FD0"/>
    <w:rsid w:val="00F61BFC"/>
    <w:rsid w:val="00F62481"/>
    <w:rsid w:val="00F6329F"/>
    <w:rsid w:val="00F638DA"/>
    <w:rsid w:val="00F64AD9"/>
    <w:rsid w:val="00F6596E"/>
    <w:rsid w:val="00F65B9F"/>
    <w:rsid w:val="00F6655C"/>
    <w:rsid w:val="00F67473"/>
    <w:rsid w:val="00F7051F"/>
    <w:rsid w:val="00F70957"/>
    <w:rsid w:val="00F71249"/>
    <w:rsid w:val="00F713D5"/>
    <w:rsid w:val="00F72DA4"/>
    <w:rsid w:val="00F74214"/>
    <w:rsid w:val="00F7439B"/>
    <w:rsid w:val="00F74F90"/>
    <w:rsid w:val="00F757B1"/>
    <w:rsid w:val="00F75808"/>
    <w:rsid w:val="00F75F3B"/>
    <w:rsid w:val="00F767A0"/>
    <w:rsid w:val="00F7791A"/>
    <w:rsid w:val="00F800C5"/>
    <w:rsid w:val="00F80267"/>
    <w:rsid w:val="00F81897"/>
    <w:rsid w:val="00F818D7"/>
    <w:rsid w:val="00F81C29"/>
    <w:rsid w:val="00F83EAC"/>
    <w:rsid w:val="00F83F69"/>
    <w:rsid w:val="00F849F3"/>
    <w:rsid w:val="00F8556A"/>
    <w:rsid w:val="00F86084"/>
    <w:rsid w:val="00F870F6"/>
    <w:rsid w:val="00F9156F"/>
    <w:rsid w:val="00F917D8"/>
    <w:rsid w:val="00F935B1"/>
    <w:rsid w:val="00F9389C"/>
    <w:rsid w:val="00F94BC7"/>
    <w:rsid w:val="00F94C61"/>
    <w:rsid w:val="00F9533E"/>
    <w:rsid w:val="00F95629"/>
    <w:rsid w:val="00F95BBD"/>
    <w:rsid w:val="00FA00CB"/>
    <w:rsid w:val="00FA0E5E"/>
    <w:rsid w:val="00FA0EEF"/>
    <w:rsid w:val="00FA195F"/>
    <w:rsid w:val="00FA2186"/>
    <w:rsid w:val="00FA2256"/>
    <w:rsid w:val="00FA2F94"/>
    <w:rsid w:val="00FA3731"/>
    <w:rsid w:val="00FA414A"/>
    <w:rsid w:val="00FA49C1"/>
    <w:rsid w:val="00FA543F"/>
    <w:rsid w:val="00FA64DB"/>
    <w:rsid w:val="00FB06B8"/>
    <w:rsid w:val="00FB07F9"/>
    <w:rsid w:val="00FB1EC9"/>
    <w:rsid w:val="00FB23EE"/>
    <w:rsid w:val="00FB4C0B"/>
    <w:rsid w:val="00FB5AA0"/>
    <w:rsid w:val="00FB70E7"/>
    <w:rsid w:val="00FB72AD"/>
    <w:rsid w:val="00FB740B"/>
    <w:rsid w:val="00FC0073"/>
    <w:rsid w:val="00FC1166"/>
    <w:rsid w:val="00FC142F"/>
    <w:rsid w:val="00FC1711"/>
    <w:rsid w:val="00FC21F2"/>
    <w:rsid w:val="00FC2A8A"/>
    <w:rsid w:val="00FC2E92"/>
    <w:rsid w:val="00FC2F68"/>
    <w:rsid w:val="00FC3233"/>
    <w:rsid w:val="00FC4878"/>
    <w:rsid w:val="00FC752E"/>
    <w:rsid w:val="00FD033A"/>
    <w:rsid w:val="00FD0833"/>
    <w:rsid w:val="00FD0F06"/>
    <w:rsid w:val="00FD1094"/>
    <w:rsid w:val="00FD1A09"/>
    <w:rsid w:val="00FD2B4E"/>
    <w:rsid w:val="00FD3E9F"/>
    <w:rsid w:val="00FD3F02"/>
    <w:rsid w:val="00FD4777"/>
    <w:rsid w:val="00FD686C"/>
    <w:rsid w:val="00FD70BA"/>
    <w:rsid w:val="00FD7212"/>
    <w:rsid w:val="00FD729B"/>
    <w:rsid w:val="00FD7446"/>
    <w:rsid w:val="00FD78BA"/>
    <w:rsid w:val="00FD7B61"/>
    <w:rsid w:val="00FE014B"/>
    <w:rsid w:val="00FE0910"/>
    <w:rsid w:val="00FE10B4"/>
    <w:rsid w:val="00FE285A"/>
    <w:rsid w:val="00FE2D09"/>
    <w:rsid w:val="00FE3B01"/>
    <w:rsid w:val="00FE49B1"/>
    <w:rsid w:val="00FE63B3"/>
    <w:rsid w:val="00FE6639"/>
    <w:rsid w:val="00FE6778"/>
    <w:rsid w:val="00FE6992"/>
    <w:rsid w:val="00FE6F29"/>
    <w:rsid w:val="00FE7769"/>
    <w:rsid w:val="00FF0150"/>
    <w:rsid w:val="00FF0E2F"/>
    <w:rsid w:val="00FF1183"/>
    <w:rsid w:val="00FF18F3"/>
    <w:rsid w:val="00FF1A6D"/>
    <w:rsid w:val="00FF1E31"/>
    <w:rsid w:val="00FF3613"/>
    <w:rsid w:val="00FF4352"/>
    <w:rsid w:val="00FF51F9"/>
    <w:rsid w:val="00FF54F9"/>
    <w:rsid w:val="00FF5543"/>
    <w:rsid w:val="00FF561D"/>
    <w:rsid w:val="00FF5BFA"/>
    <w:rsid w:val="00FF6028"/>
    <w:rsid w:val="00FF60B7"/>
    <w:rsid w:val="00FF6B5C"/>
    <w:rsid w:val="00FF7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6970FE51-9569-47CC-AB5E-36E0FA24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B8E"/>
    <w:pPr>
      <w:jc w:val="both"/>
    </w:pPr>
    <w:rPr>
      <w:rFonts w:asciiTheme="minorHAnsi" w:eastAsiaTheme="minorEastAsia" w:hAnsiTheme="minorHAnsi" w:cs="Arial"/>
      <w:sz w:val="24"/>
      <w:szCs w:val="24"/>
    </w:rPr>
  </w:style>
  <w:style w:type="paragraph" w:styleId="Heading1">
    <w:name w:val="heading 1"/>
    <w:basedOn w:val="Normal"/>
    <w:next w:val="Double"/>
    <w:link w:val="Heading1Char"/>
    <w:uiPriority w:val="2"/>
    <w:qFormat/>
    <w:rsid w:val="009C2B8E"/>
    <w:pPr>
      <w:keepNext/>
      <w:pageBreakBefore/>
      <w:numPr>
        <w:numId w:val="5"/>
      </w:numPr>
      <w:spacing w:after="240"/>
      <w:jc w:val="center"/>
      <w:outlineLvl w:val="0"/>
    </w:pPr>
    <w:rPr>
      <w:rFonts w:ascii="Times New Roman Bold" w:eastAsiaTheme="majorEastAsia" w:hAnsi="Times New Roman Bold"/>
      <w:b/>
      <w:bCs/>
      <w:caps/>
      <w:szCs w:val="32"/>
    </w:rPr>
  </w:style>
  <w:style w:type="paragraph" w:styleId="Heading2">
    <w:name w:val="heading 2"/>
    <w:basedOn w:val="Normal"/>
    <w:next w:val="Double"/>
    <w:link w:val="Heading2Char"/>
    <w:uiPriority w:val="2"/>
    <w:qFormat/>
    <w:rsid w:val="001F4CD5"/>
    <w:pPr>
      <w:keepNext/>
      <w:numPr>
        <w:ilvl w:val="1"/>
        <w:numId w:val="5"/>
      </w:numPr>
      <w:spacing w:before="240" w:after="60"/>
      <w:outlineLvl w:val="1"/>
    </w:pPr>
    <w:rPr>
      <w:rFonts w:eastAsiaTheme="majorEastAsia"/>
      <w:b/>
      <w:bCs/>
      <w:iCs/>
      <w:smallCaps/>
      <w:szCs w:val="28"/>
    </w:rPr>
  </w:style>
  <w:style w:type="paragraph" w:styleId="Heading3">
    <w:name w:val="heading 3"/>
    <w:basedOn w:val="Normal"/>
    <w:next w:val="Double"/>
    <w:link w:val="Heading3Char"/>
    <w:uiPriority w:val="2"/>
    <w:qFormat/>
    <w:rsid w:val="009C2B8E"/>
    <w:pPr>
      <w:keepNext/>
      <w:numPr>
        <w:ilvl w:val="2"/>
        <w:numId w:val="5"/>
      </w:numPr>
      <w:spacing w:after="240"/>
      <w:outlineLvl w:val="2"/>
    </w:pPr>
    <w:rPr>
      <w:rFonts w:ascii="Times New Roman Bold" w:eastAsiaTheme="majorEastAsia" w:hAnsi="Times New Roman Bold"/>
      <w:b/>
      <w:bCs/>
      <w:szCs w:val="26"/>
      <w:u w:val="single"/>
    </w:rPr>
  </w:style>
  <w:style w:type="paragraph" w:styleId="Heading4">
    <w:name w:val="heading 4"/>
    <w:basedOn w:val="Normal"/>
    <w:next w:val="Double"/>
    <w:link w:val="Heading4Char"/>
    <w:uiPriority w:val="2"/>
    <w:qFormat/>
    <w:rsid w:val="009C2B8E"/>
    <w:pPr>
      <w:keepNext/>
      <w:numPr>
        <w:ilvl w:val="3"/>
        <w:numId w:val="5"/>
      </w:numPr>
      <w:spacing w:after="240"/>
      <w:outlineLvl w:val="3"/>
    </w:pPr>
    <w:rPr>
      <w:rFonts w:ascii="Times New Roman" w:eastAsiaTheme="majorEastAsia" w:hAnsi="Times New Roman" w:cstheme="majorBidi"/>
      <w:b/>
      <w:bCs/>
      <w:i/>
      <w:szCs w:val="28"/>
      <w:u w:val="single"/>
    </w:rPr>
  </w:style>
  <w:style w:type="paragraph" w:styleId="Heading5">
    <w:name w:val="heading 5"/>
    <w:basedOn w:val="Normal"/>
    <w:next w:val="Double"/>
    <w:link w:val="Heading5Char"/>
    <w:uiPriority w:val="2"/>
    <w:qFormat/>
    <w:rsid w:val="009C2B8E"/>
    <w:pPr>
      <w:keepNext/>
      <w:keepLines/>
      <w:numPr>
        <w:ilvl w:val="4"/>
        <w:numId w:val="5"/>
      </w:numPr>
      <w:spacing w:after="240"/>
      <w:outlineLvl w:val="4"/>
    </w:pPr>
    <w:rPr>
      <w:rFonts w:ascii="Times New Roman Bold" w:hAnsi="Times New Roman Bold"/>
      <w:b/>
      <w:bCs/>
      <w:iCs/>
      <w:szCs w:val="26"/>
    </w:rPr>
  </w:style>
  <w:style w:type="paragraph" w:styleId="Heading6">
    <w:name w:val="heading 6"/>
    <w:basedOn w:val="Normal"/>
    <w:next w:val="Double"/>
    <w:link w:val="Heading6Char"/>
    <w:uiPriority w:val="2"/>
    <w:qFormat/>
    <w:rsid w:val="009C2B8E"/>
    <w:pPr>
      <w:keepNext/>
      <w:keepLines/>
      <w:numPr>
        <w:ilvl w:val="5"/>
        <w:numId w:val="5"/>
      </w:numPr>
      <w:spacing w:before="120" w:after="240"/>
      <w:outlineLvl w:val="5"/>
    </w:pPr>
    <w:rPr>
      <w:b/>
      <w:bCs/>
      <w:i/>
      <w:szCs w:val="22"/>
    </w:rPr>
  </w:style>
  <w:style w:type="paragraph" w:styleId="Heading7">
    <w:name w:val="heading 7"/>
    <w:basedOn w:val="Normal"/>
    <w:next w:val="Double"/>
    <w:link w:val="Heading7Char"/>
    <w:uiPriority w:val="2"/>
    <w:qFormat/>
    <w:rsid w:val="009C2B8E"/>
    <w:pPr>
      <w:numPr>
        <w:ilvl w:val="6"/>
        <w:numId w:val="5"/>
      </w:numPr>
      <w:spacing w:after="240"/>
      <w:outlineLvl w:val="6"/>
    </w:pPr>
    <w:rPr>
      <w:u w:val="single"/>
    </w:rPr>
  </w:style>
  <w:style w:type="paragraph" w:styleId="Heading8">
    <w:name w:val="heading 8"/>
    <w:basedOn w:val="Normal"/>
    <w:next w:val="Double"/>
    <w:link w:val="Heading8Char"/>
    <w:uiPriority w:val="2"/>
    <w:unhideWhenUsed/>
    <w:qFormat/>
    <w:rsid w:val="009C2B8E"/>
    <w:pPr>
      <w:keepNext/>
      <w:keepLines/>
      <w:numPr>
        <w:ilvl w:val="7"/>
        <w:numId w:val="3"/>
      </w:numPr>
      <w:tabs>
        <w:tab w:val="clear" w:pos="5760"/>
        <w:tab w:val="num" w:pos="4320"/>
      </w:tabs>
      <w:spacing w:after="240"/>
      <w:ind w:left="5040" w:hanging="720"/>
      <w:outlineLvl w:val="7"/>
    </w:pPr>
    <w:rPr>
      <w:rFonts w:asciiTheme="majorHAnsi" w:eastAsiaTheme="majorEastAsia" w:hAnsiTheme="majorHAnsi" w:cstheme="majorBidi"/>
      <w:i/>
      <w:szCs w:val="20"/>
      <w:u w:val="single"/>
    </w:rPr>
  </w:style>
  <w:style w:type="paragraph" w:styleId="Heading9">
    <w:name w:val="heading 9"/>
    <w:basedOn w:val="Normal"/>
    <w:next w:val="Double"/>
    <w:link w:val="Heading9Char"/>
    <w:uiPriority w:val="2"/>
    <w:unhideWhenUsed/>
    <w:qFormat/>
    <w:rsid w:val="009C2B8E"/>
    <w:pPr>
      <w:keepNext/>
      <w:keepLines/>
      <w:numPr>
        <w:ilvl w:val="8"/>
        <w:numId w:val="8"/>
      </w:numPr>
      <w:tabs>
        <w:tab w:val="num" w:pos="5040"/>
      </w:tabs>
      <w:spacing w:before="240" w:after="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C2B8E"/>
    <w:pPr>
      <w:spacing w:after="300"/>
      <w:contextualSpacing/>
      <w:jc w:val="center"/>
    </w:pPr>
    <w:rPr>
      <w:rFonts w:asciiTheme="majorHAnsi" w:eastAsiaTheme="majorEastAsia" w:hAnsiTheme="majorHAnsi" w:cstheme="majorBidi"/>
      <w:b/>
      <w:smallCaps/>
      <w:spacing w:val="5"/>
      <w:kern w:val="28"/>
      <w:sz w:val="28"/>
      <w:szCs w:val="52"/>
    </w:rPr>
  </w:style>
  <w:style w:type="character" w:customStyle="1" w:styleId="TitleChar">
    <w:name w:val="Title Char"/>
    <w:basedOn w:val="DefaultParagraphFont"/>
    <w:link w:val="Title"/>
    <w:rsid w:val="009C2B8E"/>
    <w:rPr>
      <w:rFonts w:asciiTheme="majorHAnsi" w:eastAsiaTheme="majorEastAsia" w:hAnsiTheme="majorHAnsi" w:cstheme="majorBidi"/>
      <w:b/>
      <w:smallCaps/>
      <w:spacing w:val="5"/>
      <w:kern w:val="28"/>
      <w:sz w:val="28"/>
      <w:szCs w:val="52"/>
    </w:rPr>
  </w:style>
  <w:style w:type="paragraph" w:styleId="Subtitle">
    <w:name w:val="Subtitle"/>
    <w:basedOn w:val="Normal"/>
    <w:next w:val="Normal"/>
    <w:link w:val="SubtitleChar"/>
    <w:qFormat/>
    <w:rsid w:val="009C2B8E"/>
    <w:pPr>
      <w:numPr>
        <w:ilvl w:val="1"/>
      </w:numPr>
      <w:spacing w:after="240"/>
      <w:jc w:val="center"/>
    </w:pPr>
    <w:rPr>
      <w:rFonts w:asciiTheme="majorHAnsi" w:eastAsiaTheme="majorEastAsia" w:hAnsiTheme="majorHAnsi" w:cstheme="majorBidi"/>
      <w:b/>
      <w:iCs/>
      <w:smallCaps/>
      <w:spacing w:val="15"/>
    </w:rPr>
  </w:style>
  <w:style w:type="character" w:customStyle="1" w:styleId="SubtitleChar">
    <w:name w:val="Subtitle Char"/>
    <w:basedOn w:val="DefaultParagraphFont"/>
    <w:link w:val="Subtitle"/>
    <w:rsid w:val="009C2B8E"/>
    <w:rPr>
      <w:rFonts w:asciiTheme="majorHAnsi" w:eastAsiaTheme="majorEastAsia" w:hAnsiTheme="majorHAnsi" w:cstheme="majorBidi"/>
      <w:b/>
      <w:iCs/>
      <w:smallCaps/>
      <w:spacing w:val="15"/>
      <w:sz w:val="24"/>
      <w:szCs w:val="24"/>
    </w:rPr>
  </w:style>
  <w:style w:type="paragraph" w:styleId="ListParagraph">
    <w:name w:val="List Paragraph"/>
    <w:basedOn w:val="Normal"/>
    <w:link w:val="ListParagraphChar"/>
    <w:uiPriority w:val="34"/>
    <w:qFormat/>
    <w:rsid w:val="009C2B8E"/>
    <w:pPr>
      <w:spacing w:line="276" w:lineRule="auto"/>
      <w:ind w:left="720"/>
      <w:contextualSpacing/>
    </w:pPr>
    <w:rPr>
      <w:rFonts w:ascii="Times New Roman" w:eastAsia="Calibri" w:hAnsi="Times New Roman"/>
      <w:sz w:val="20"/>
      <w:szCs w:val="22"/>
    </w:rPr>
  </w:style>
  <w:style w:type="character" w:customStyle="1" w:styleId="Heading1Char">
    <w:name w:val="Heading 1 Char"/>
    <w:basedOn w:val="DefaultParagraphFont"/>
    <w:link w:val="Heading1"/>
    <w:uiPriority w:val="2"/>
    <w:rsid w:val="009C2B8E"/>
    <w:rPr>
      <w:rFonts w:ascii="Times New Roman Bold" w:eastAsiaTheme="majorEastAsia" w:hAnsi="Times New Roman Bold" w:cs="Arial"/>
      <w:b/>
      <w:bCs/>
      <w:caps/>
      <w:sz w:val="24"/>
      <w:szCs w:val="32"/>
    </w:rPr>
  </w:style>
  <w:style w:type="paragraph" w:customStyle="1" w:styleId="CitationHeading">
    <w:name w:val="Citation Heading"/>
    <w:basedOn w:val="Normal"/>
    <w:link w:val="CitationHeadingChar"/>
    <w:rsid w:val="00BC5F09"/>
    <w:rPr>
      <w:rFonts w:ascii="Times New Roman" w:hAnsi="Times New Roman" w:cs="Times New Roman"/>
    </w:rPr>
  </w:style>
  <w:style w:type="paragraph" w:customStyle="1" w:styleId="Body-DoubleSpace">
    <w:name w:val="Body - Double Space"/>
    <w:basedOn w:val="Normal"/>
    <w:link w:val="Body-DoubleSpaceChar"/>
    <w:rsid w:val="00BC5F09"/>
    <w:pPr>
      <w:spacing w:after="120"/>
    </w:pPr>
  </w:style>
  <w:style w:type="character" w:customStyle="1" w:styleId="CitationHeadingChar">
    <w:name w:val="Citation Heading Char"/>
    <w:basedOn w:val="DefaultParagraphFont"/>
    <w:link w:val="CitationHeading"/>
    <w:rsid w:val="00BC5F09"/>
    <w:rPr>
      <w:rFonts w:ascii="Times New Roman" w:eastAsiaTheme="minorEastAsia" w:hAnsi="Times New Roman" w:cs="Times New Roman"/>
      <w:sz w:val="24"/>
      <w:szCs w:val="24"/>
    </w:rPr>
  </w:style>
  <w:style w:type="character" w:customStyle="1" w:styleId="Heading2Char">
    <w:name w:val="Heading 2 Char"/>
    <w:link w:val="Heading2"/>
    <w:uiPriority w:val="2"/>
    <w:rsid w:val="001F4CD5"/>
    <w:rPr>
      <w:rFonts w:asciiTheme="minorHAnsi" w:eastAsiaTheme="majorEastAsia" w:hAnsiTheme="minorHAnsi" w:cs="Arial"/>
      <w:b/>
      <w:bCs/>
      <w:iCs/>
      <w:smallCaps/>
      <w:sz w:val="24"/>
      <w:szCs w:val="28"/>
    </w:rPr>
  </w:style>
  <w:style w:type="character" w:customStyle="1" w:styleId="Body-DoubleSpaceChar">
    <w:name w:val="Body - Double Space Char"/>
    <w:basedOn w:val="DefaultParagraphFont"/>
    <w:link w:val="Body-DoubleSpace"/>
    <w:rsid w:val="00BC5F09"/>
    <w:rPr>
      <w:rFonts w:eastAsiaTheme="minorEastAsia" w:cs="Arial"/>
      <w:sz w:val="24"/>
      <w:szCs w:val="24"/>
    </w:rPr>
  </w:style>
  <w:style w:type="paragraph" w:styleId="NoSpacing">
    <w:name w:val="No Spacing"/>
    <w:basedOn w:val="Normal"/>
    <w:link w:val="NoSpacingChar"/>
    <w:uiPriority w:val="1"/>
    <w:qFormat/>
    <w:rsid w:val="009C2B8E"/>
  </w:style>
  <w:style w:type="character" w:customStyle="1" w:styleId="Heading3Char">
    <w:name w:val="Heading 3 Char"/>
    <w:basedOn w:val="DefaultParagraphFont"/>
    <w:link w:val="Heading3"/>
    <w:uiPriority w:val="2"/>
    <w:rsid w:val="009C2B8E"/>
    <w:rPr>
      <w:rFonts w:ascii="Times New Roman Bold" w:eastAsiaTheme="majorEastAsia" w:hAnsi="Times New Roman Bold" w:cs="Arial"/>
      <w:b/>
      <w:bCs/>
      <w:sz w:val="24"/>
      <w:szCs w:val="26"/>
      <w:u w:val="single"/>
    </w:rPr>
  </w:style>
  <w:style w:type="paragraph" w:styleId="Quote">
    <w:name w:val="Quote"/>
    <w:basedOn w:val="Normal"/>
    <w:next w:val="Double"/>
    <w:link w:val="QuoteChar"/>
    <w:uiPriority w:val="29"/>
    <w:qFormat/>
    <w:rsid w:val="009C2B8E"/>
    <w:pPr>
      <w:spacing w:after="240"/>
      <w:ind w:left="1440" w:right="1109"/>
    </w:pPr>
    <w:rPr>
      <w:rFonts w:ascii="Times New Roman" w:hAnsi="Times New Roman" w:cstheme="minorBidi"/>
      <w:iCs/>
      <w:lang w:bidi="en-US"/>
    </w:rPr>
  </w:style>
  <w:style w:type="character" w:customStyle="1" w:styleId="QuoteChar">
    <w:name w:val="Quote Char"/>
    <w:basedOn w:val="DefaultParagraphFont"/>
    <w:link w:val="Quote"/>
    <w:uiPriority w:val="29"/>
    <w:rsid w:val="009C2B8E"/>
    <w:rPr>
      <w:rFonts w:eastAsiaTheme="minorEastAsia" w:cstheme="minorBidi"/>
      <w:iCs/>
      <w:sz w:val="24"/>
      <w:szCs w:val="24"/>
      <w:lang w:bidi="en-US"/>
    </w:rPr>
  </w:style>
  <w:style w:type="character" w:customStyle="1" w:styleId="Heading4Char">
    <w:name w:val="Heading 4 Char"/>
    <w:basedOn w:val="DefaultParagraphFont"/>
    <w:link w:val="Heading4"/>
    <w:uiPriority w:val="2"/>
    <w:rsid w:val="009C2B8E"/>
    <w:rPr>
      <w:rFonts w:eastAsiaTheme="majorEastAsia" w:cstheme="majorBidi"/>
      <w:b/>
      <w:bCs/>
      <w:i/>
      <w:sz w:val="24"/>
      <w:szCs w:val="28"/>
      <w:u w:val="single"/>
    </w:rPr>
  </w:style>
  <w:style w:type="character" w:customStyle="1" w:styleId="FootnoteTextChar">
    <w:name w:val="Footnote Text Char"/>
    <w:aliases w:val="Char Char Char Char,Char Char Char1,Char Char1"/>
    <w:basedOn w:val="DefaultParagraphFont"/>
    <w:uiPriority w:val="99"/>
    <w:rsid w:val="005C4AC2"/>
    <w:rPr>
      <w:rFonts w:asciiTheme="minorHAnsi" w:eastAsiaTheme="minorEastAsia" w:hAnsiTheme="minorHAnsi" w:cs="Arial"/>
    </w:rPr>
  </w:style>
  <w:style w:type="character" w:styleId="FootnoteReference">
    <w:name w:val="footnote reference"/>
    <w:aliases w:val="fr,Style 29"/>
    <w:basedOn w:val="DefaultParagraphFont"/>
    <w:uiPriority w:val="99"/>
    <w:unhideWhenUsed/>
    <w:rsid w:val="009227CE"/>
    <w:rPr>
      <w:vertAlign w:val="superscript"/>
    </w:rPr>
  </w:style>
  <w:style w:type="paragraph" w:styleId="TOC1">
    <w:name w:val="toc 1"/>
    <w:basedOn w:val="Normal"/>
    <w:next w:val="Normal"/>
    <w:autoRedefine/>
    <w:uiPriority w:val="39"/>
    <w:qFormat/>
    <w:rsid w:val="009C2B8E"/>
    <w:pPr>
      <w:tabs>
        <w:tab w:val="left" w:pos="630"/>
        <w:tab w:val="left" w:pos="720"/>
        <w:tab w:val="right" w:leader="dot" w:pos="9350"/>
      </w:tabs>
      <w:ind w:left="720" w:hanging="720"/>
    </w:pPr>
  </w:style>
  <w:style w:type="paragraph" w:styleId="TOC2">
    <w:name w:val="toc 2"/>
    <w:basedOn w:val="Normal"/>
    <w:next w:val="Normal"/>
    <w:autoRedefine/>
    <w:uiPriority w:val="39"/>
    <w:qFormat/>
    <w:rsid w:val="009C2B8E"/>
    <w:pPr>
      <w:tabs>
        <w:tab w:val="right" w:leader="dot" w:pos="9350"/>
      </w:tabs>
      <w:ind w:left="1170" w:hanging="450"/>
    </w:pPr>
  </w:style>
  <w:style w:type="paragraph" w:styleId="TOC3">
    <w:name w:val="toc 3"/>
    <w:basedOn w:val="Normal"/>
    <w:next w:val="Normal"/>
    <w:autoRedefine/>
    <w:uiPriority w:val="39"/>
    <w:qFormat/>
    <w:rsid w:val="009C2B8E"/>
    <w:pPr>
      <w:tabs>
        <w:tab w:val="left" w:pos="1620"/>
        <w:tab w:val="right" w:leader="dot" w:pos="9350"/>
      </w:tabs>
      <w:ind w:left="1620" w:hanging="450"/>
    </w:pPr>
  </w:style>
  <w:style w:type="character" w:styleId="Hyperlink">
    <w:name w:val="Hyperlink"/>
    <w:basedOn w:val="DefaultParagraphFont"/>
    <w:uiPriority w:val="99"/>
    <w:unhideWhenUsed/>
    <w:rsid w:val="0002427A"/>
    <w:rPr>
      <w:color w:val="C9EC51" w:themeColor="hyperlink"/>
      <w:u w:val="single"/>
    </w:rPr>
  </w:style>
  <w:style w:type="paragraph" w:styleId="Header">
    <w:name w:val="header"/>
    <w:basedOn w:val="Normal"/>
    <w:link w:val="HeaderChar"/>
    <w:uiPriority w:val="99"/>
    <w:unhideWhenUsed/>
    <w:rsid w:val="00C37D1E"/>
    <w:pPr>
      <w:tabs>
        <w:tab w:val="center" w:pos="4680"/>
        <w:tab w:val="right" w:pos="9360"/>
      </w:tabs>
    </w:pPr>
  </w:style>
  <w:style w:type="character" w:customStyle="1" w:styleId="HeaderChar">
    <w:name w:val="Header Char"/>
    <w:basedOn w:val="DefaultParagraphFont"/>
    <w:link w:val="Header"/>
    <w:uiPriority w:val="99"/>
    <w:rsid w:val="00C37D1E"/>
    <w:rPr>
      <w:rFonts w:eastAsiaTheme="minorEastAsia" w:cs="Arial"/>
      <w:sz w:val="24"/>
      <w:szCs w:val="24"/>
    </w:rPr>
  </w:style>
  <w:style w:type="paragraph" w:styleId="Footer">
    <w:name w:val="footer"/>
    <w:basedOn w:val="Normal"/>
    <w:link w:val="FooterChar"/>
    <w:uiPriority w:val="99"/>
    <w:unhideWhenUsed/>
    <w:rsid w:val="00C37D1E"/>
    <w:pPr>
      <w:tabs>
        <w:tab w:val="center" w:pos="4680"/>
        <w:tab w:val="right" w:pos="9360"/>
      </w:tabs>
    </w:pPr>
  </w:style>
  <w:style w:type="character" w:customStyle="1" w:styleId="FooterChar">
    <w:name w:val="Footer Char"/>
    <w:basedOn w:val="DefaultParagraphFont"/>
    <w:link w:val="Footer"/>
    <w:uiPriority w:val="99"/>
    <w:rsid w:val="00C37D1E"/>
    <w:rPr>
      <w:rFonts w:eastAsiaTheme="minorEastAsia" w:cs="Arial"/>
      <w:sz w:val="24"/>
      <w:szCs w:val="24"/>
    </w:rPr>
  </w:style>
  <w:style w:type="paragraph" w:customStyle="1" w:styleId="Double">
    <w:name w:val="Double"/>
    <w:basedOn w:val="Normal"/>
    <w:link w:val="DoubleChar"/>
    <w:qFormat/>
    <w:rsid w:val="009C2B8E"/>
    <w:pPr>
      <w:spacing w:line="480" w:lineRule="auto"/>
      <w:ind w:firstLine="720"/>
    </w:pPr>
    <w:rPr>
      <w:rFonts w:ascii="Times New Roman" w:hAnsi="Times New Roman"/>
      <w:szCs w:val="22"/>
    </w:rPr>
  </w:style>
  <w:style w:type="paragraph" w:customStyle="1" w:styleId="Footnotes">
    <w:name w:val="Footnotes"/>
    <w:basedOn w:val="Normal"/>
    <w:link w:val="FootnotesChar"/>
    <w:rsid w:val="00401593"/>
    <w:pPr>
      <w:spacing w:after="60"/>
    </w:pPr>
    <w:rPr>
      <w:sz w:val="20"/>
    </w:rPr>
  </w:style>
  <w:style w:type="character" w:customStyle="1" w:styleId="FootnotesChar">
    <w:name w:val="Footnotes Char"/>
    <w:basedOn w:val="FootnoteTextChar"/>
    <w:link w:val="Footnotes"/>
    <w:rsid w:val="00401593"/>
    <w:rPr>
      <w:rFonts w:asciiTheme="minorHAnsi" w:eastAsiaTheme="minorEastAsia" w:hAnsiTheme="minorHAnsi" w:cs="Arial"/>
      <w:szCs w:val="24"/>
    </w:rPr>
  </w:style>
  <w:style w:type="character" w:customStyle="1" w:styleId="DoubleChar">
    <w:name w:val="Double Char"/>
    <w:link w:val="Double"/>
    <w:locked/>
    <w:rsid w:val="009C2B8E"/>
    <w:rPr>
      <w:rFonts w:eastAsiaTheme="minorEastAsia" w:cs="Arial"/>
      <w:sz w:val="24"/>
      <w:szCs w:val="22"/>
    </w:rPr>
  </w:style>
  <w:style w:type="paragraph" w:customStyle="1" w:styleId="TableHeader">
    <w:name w:val="Table Header"/>
    <w:basedOn w:val="Normal"/>
    <w:next w:val="Double"/>
    <w:link w:val="TableHeaderChar"/>
    <w:qFormat/>
    <w:rsid w:val="00733E4C"/>
    <w:pPr>
      <w:keepNext/>
      <w:numPr>
        <w:numId w:val="11"/>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ind w:left="990" w:hanging="990"/>
    </w:pPr>
    <w:rPr>
      <w:rFonts w:ascii="Times New Roman" w:eastAsiaTheme="minorHAnsi" w:hAnsi="Times New Roman"/>
      <w:b/>
      <w:color w:val="000000" w:themeColor="text1"/>
    </w:rPr>
  </w:style>
  <w:style w:type="paragraph" w:styleId="ListBullet">
    <w:name w:val="List Bullet"/>
    <w:basedOn w:val="Normal"/>
    <w:uiPriority w:val="99"/>
    <w:unhideWhenUsed/>
    <w:rsid w:val="003E3D23"/>
    <w:pPr>
      <w:tabs>
        <w:tab w:val="num" w:pos="360"/>
      </w:tabs>
      <w:ind w:left="360" w:hanging="360"/>
      <w:contextualSpacing/>
    </w:pPr>
  </w:style>
  <w:style w:type="paragraph" w:styleId="BalloonText">
    <w:name w:val="Balloon Text"/>
    <w:basedOn w:val="Normal"/>
    <w:link w:val="BalloonTextChar"/>
    <w:uiPriority w:val="99"/>
    <w:semiHidden/>
    <w:unhideWhenUsed/>
    <w:rsid w:val="0075742F"/>
    <w:rPr>
      <w:rFonts w:ascii="Tahoma" w:hAnsi="Tahoma" w:cs="Tahoma"/>
      <w:sz w:val="16"/>
      <w:szCs w:val="16"/>
    </w:rPr>
  </w:style>
  <w:style w:type="character" w:customStyle="1" w:styleId="BalloonTextChar">
    <w:name w:val="Balloon Text Char"/>
    <w:basedOn w:val="DefaultParagraphFont"/>
    <w:link w:val="BalloonText"/>
    <w:uiPriority w:val="99"/>
    <w:semiHidden/>
    <w:rsid w:val="0075742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20C9A"/>
    <w:rPr>
      <w:sz w:val="16"/>
      <w:szCs w:val="16"/>
    </w:rPr>
  </w:style>
  <w:style w:type="paragraph" w:styleId="CommentText">
    <w:name w:val="annotation text"/>
    <w:basedOn w:val="Normal"/>
    <w:link w:val="CommentTextChar"/>
    <w:uiPriority w:val="99"/>
    <w:semiHidden/>
    <w:unhideWhenUsed/>
    <w:rsid w:val="00820C9A"/>
    <w:rPr>
      <w:sz w:val="20"/>
      <w:szCs w:val="20"/>
    </w:rPr>
  </w:style>
  <w:style w:type="character" w:customStyle="1" w:styleId="CommentTextChar">
    <w:name w:val="Comment Text Char"/>
    <w:basedOn w:val="DefaultParagraphFont"/>
    <w:link w:val="CommentText"/>
    <w:uiPriority w:val="99"/>
    <w:semiHidden/>
    <w:rsid w:val="00820C9A"/>
    <w:rPr>
      <w:rFonts w:eastAsiaTheme="minorEastAsia" w:cs="Arial"/>
      <w:sz w:val="20"/>
      <w:szCs w:val="20"/>
    </w:rPr>
  </w:style>
  <w:style w:type="paragraph" w:styleId="CommentSubject">
    <w:name w:val="annotation subject"/>
    <w:basedOn w:val="CommentText"/>
    <w:next w:val="CommentText"/>
    <w:link w:val="CommentSubjectChar"/>
    <w:uiPriority w:val="99"/>
    <w:semiHidden/>
    <w:unhideWhenUsed/>
    <w:rsid w:val="00820C9A"/>
    <w:rPr>
      <w:b/>
      <w:bCs/>
    </w:rPr>
  </w:style>
  <w:style w:type="character" w:customStyle="1" w:styleId="CommentSubjectChar">
    <w:name w:val="Comment Subject Char"/>
    <w:basedOn w:val="CommentTextChar"/>
    <w:link w:val="CommentSubject"/>
    <w:uiPriority w:val="99"/>
    <w:semiHidden/>
    <w:rsid w:val="00820C9A"/>
    <w:rPr>
      <w:rFonts w:eastAsiaTheme="minorEastAsia" w:cs="Arial"/>
      <w:b/>
      <w:bCs/>
      <w:sz w:val="20"/>
      <w:szCs w:val="20"/>
    </w:rPr>
  </w:style>
  <w:style w:type="paragraph" w:customStyle="1" w:styleId="FigureHeader">
    <w:name w:val="Figure Header"/>
    <w:basedOn w:val="Normal"/>
    <w:next w:val="Normal"/>
    <w:qFormat/>
    <w:rsid w:val="00733E4C"/>
    <w:pPr>
      <w:keepNext/>
      <w:keepLines/>
      <w:numPr>
        <w:numId w:val="7"/>
      </w:numPr>
      <w:tabs>
        <w:tab w:val="left" w:pos="720"/>
        <w:tab w:val="left" w:pos="1080"/>
        <w:tab w:val="left" w:pos="1440"/>
        <w:tab w:val="left" w:pos="1800"/>
        <w:tab w:val="left" w:pos="2160"/>
        <w:tab w:val="left" w:pos="2520"/>
        <w:tab w:val="left" w:pos="2880"/>
        <w:tab w:val="left" w:pos="3240"/>
        <w:tab w:val="left" w:pos="3600"/>
        <w:tab w:val="left" w:pos="3960"/>
      </w:tabs>
      <w:spacing w:after="120"/>
    </w:pPr>
    <w:rPr>
      <w:b/>
    </w:rPr>
  </w:style>
  <w:style w:type="paragraph" w:customStyle="1" w:styleId="AppendixHeader">
    <w:name w:val="Appendix Header"/>
    <w:basedOn w:val="Normal"/>
    <w:link w:val="AppendixHeaderChar"/>
    <w:qFormat/>
    <w:rsid w:val="009C2B8E"/>
    <w:pPr>
      <w:keepNext/>
      <w:keepLines/>
      <w:pageBreakBefor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240"/>
      <w:ind w:left="1440" w:hanging="360"/>
      <w:jc w:val="center"/>
    </w:pPr>
    <w:rPr>
      <w:rFonts w:ascii="Times New Roman Bold" w:eastAsiaTheme="minorHAnsi" w:hAnsi="Times New Roman Bold"/>
      <w:b/>
      <w:smallCaps/>
      <w:sz w:val="28"/>
    </w:rPr>
  </w:style>
  <w:style w:type="character" w:customStyle="1" w:styleId="AppendixHeaderChar">
    <w:name w:val="Appendix Header Char"/>
    <w:basedOn w:val="DefaultParagraphFont"/>
    <w:link w:val="AppendixHeader"/>
    <w:rsid w:val="009C2B8E"/>
    <w:rPr>
      <w:rFonts w:ascii="Times New Roman Bold" w:hAnsi="Times New Roman Bold" w:cs="Arial"/>
      <w:b/>
      <w:smallCaps/>
      <w:sz w:val="28"/>
      <w:szCs w:val="24"/>
    </w:rPr>
  </w:style>
  <w:style w:type="paragraph" w:customStyle="1" w:styleId="TableText">
    <w:name w:val="Table Text"/>
    <w:basedOn w:val="Normal"/>
    <w:qFormat/>
    <w:rsid w:val="009C2B8E"/>
    <w:pPr>
      <w:keepNext/>
      <w:keepLines/>
    </w:pPr>
    <w:rPr>
      <w:rFonts w:eastAsia="SimSun"/>
      <w:sz w:val="22"/>
      <w:szCs w:val="22"/>
    </w:rPr>
  </w:style>
  <w:style w:type="paragraph" w:customStyle="1" w:styleId="EquationHeader">
    <w:name w:val="Equation Header"/>
    <w:basedOn w:val="TableHeader"/>
    <w:next w:val="Normal"/>
    <w:link w:val="EquationHeaderChar"/>
    <w:qFormat/>
    <w:rsid w:val="00733E4C"/>
    <w:pPr>
      <w:numPr>
        <w:numId w:val="10"/>
      </w:numPr>
      <w:tabs>
        <w:tab w:val="clear" w:pos="0"/>
        <w:tab w:val="left" w:pos="360"/>
      </w:tabs>
      <w:spacing w:after="0"/>
    </w:pPr>
    <w:rPr>
      <w:color w:val="auto"/>
    </w:rPr>
  </w:style>
  <w:style w:type="character" w:customStyle="1" w:styleId="EquationHeaderChar">
    <w:name w:val="Equation Header Char"/>
    <w:basedOn w:val="TableHeaderChar"/>
    <w:link w:val="EquationHeader"/>
    <w:rsid w:val="00733E4C"/>
    <w:rPr>
      <w:rFonts w:cs="Arial"/>
      <w:b/>
      <w:color w:val="000000" w:themeColor="text1"/>
      <w:sz w:val="24"/>
      <w:szCs w:val="24"/>
    </w:rPr>
  </w:style>
  <w:style w:type="paragraph" w:customStyle="1" w:styleId="BulletedList">
    <w:name w:val="Bulleted List"/>
    <w:basedOn w:val="Normal"/>
    <w:link w:val="BulletedListChar"/>
    <w:qFormat/>
    <w:rsid w:val="009C2B8E"/>
    <w:pPr>
      <w:numPr>
        <w:numId w:val="9"/>
      </w:numPr>
      <w:spacing w:after="240"/>
      <w:ind w:right="720"/>
    </w:pPr>
  </w:style>
  <w:style w:type="paragraph" w:customStyle="1" w:styleId="ExhibitSubtitle">
    <w:name w:val="Exhibit Subtitle"/>
    <w:basedOn w:val="Normal"/>
    <w:link w:val="ExhibitSubtitleChar"/>
    <w:qFormat/>
    <w:rsid w:val="00733E4C"/>
    <w:rPr>
      <w:i/>
      <w:sz w:val="20"/>
      <w:szCs w:val="20"/>
    </w:rPr>
  </w:style>
  <w:style w:type="character" w:customStyle="1" w:styleId="ExhibitSubtitleChar">
    <w:name w:val="Exhibit Subtitle Char"/>
    <w:basedOn w:val="DefaultParagraphFont"/>
    <w:link w:val="ExhibitSubtitle"/>
    <w:rsid w:val="00733E4C"/>
    <w:rPr>
      <w:rFonts w:asciiTheme="minorHAnsi" w:eastAsiaTheme="minorEastAsia" w:hAnsiTheme="minorHAnsi" w:cs="Arial"/>
      <w:i/>
    </w:rPr>
  </w:style>
  <w:style w:type="paragraph" w:customStyle="1" w:styleId="ExhibitNotes">
    <w:name w:val="Exhibit Notes"/>
    <w:basedOn w:val="Normal"/>
    <w:link w:val="ExhibitNotesChar"/>
    <w:qFormat/>
    <w:rsid w:val="009C2B8E"/>
    <w:rPr>
      <w:i/>
      <w:sz w:val="20"/>
      <w:szCs w:val="20"/>
    </w:rPr>
  </w:style>
  <w:style w:type="character" w:customStyle="1" w:styleId="ExhibitNotesChar">
    <w:name w:val="Exhibit Notes Char"/>
    <w:basedOn w:val="DefaultParagraphFont"/>
    <w:link w:val="ExhibitNotes"/>
    <w:rsid w:val="009C2B8E"/>
    <w:rPr>
      <w:rFonts w:asciiTheme="minorHAnsi" w:eastAsiaTheme="minorEastAsia" w:hAnsiTheme="minorHAnsi" w:cs="Arial"/>
      <w:i/>
    </w:rPr>
  </w:style>
  <w:style w:type="character" w:customStyle="1" w:styleId="Heading5Char">
    <w:name w:val="Heading 5 Char"/>
    <w:basedOn w:val="DefaultParagraphFont"/>
    <w:link w:val="Heading5"/>
    <w:uiPriority w:val="2"/>
    <w:rsid w:val="009C2B8E"/>
    <w:rPr>
      <w:rFonts w:ascii="Times New Roman Bold" w:eastAsiaTheme="minorEastAsia" w:hAnsi="Times New Roman Bold" w:cs="Arial"/>
      <w:b/>
      <w:bCs/>
      <w:iCs/>
      <w:sz w:val="24"/>
      <w:szCs w:val="26"/>
    </w:rPr>
  </w:style>
  <w:style w:type="character" w:customStyle="1" w:styleId="Heading6Char">
    <w:name w:val="Heading 6 Char"/>
    <w:basedOn w:val="DefaultParagraphFont"/>
    <w:link w:val="Heading6"/>
    <w:uiPriority w:val="2"/>
    <w:rsid w:val="009C2B8E"/>
    <w:rPr>
      <w:rFonts w:asciiTheme="minorHAnsi" w:eastAsiaTheme="minorEastAsia" w:hAnsiTheme="minorHAnsi" w:cs="Arial"/>
      <w:b/>
      <w:bCs/>
      <w:i/>
      <w:sz w:val="24"/>
      <w:szCs w:val="22"/>
    </w:rPr>
  </w:style>
  <w:style w:type="character" w:customStyle="1" w:styleId="Heading7Char">
    <w:name w:val="Heading 7 Char"/>
    <w:basedOn w:val="DefaultParagraphFont"/>
    <w:link w:val="Heading7"/>
    <w:uiPriority w:val="2"/>
    <w:rsid w:val="009C2B8E"/>
    <w:rPr>
      <w:rFonts w:asciiTheme="minorHAnsi" w:eastAsiaTheme="minorEastAsia" w:hAnsiTheme="minorHAnsi" w:cs="Arial"/>
      <w:sz w:val="24"/>
      <w:szCs w:val="24"/>
      <w:u w:val="single"/>
    </w:rPr>
  </w:style>
  <w:style w:type="character" w:customStyle="1" w:styleId="Heading8Char">
    <w:name w:val="Heading 8 Char"/>
    <w:basedOn w:val="DefaultParagraphFont"/>
    <w:link w:val="Heading8"/>
    <w:uiPriority w:val="2"/>
    <w:rsid w:val="009C2B8E"/>
    <w:rPr>
      <w:rFonts w:asciiTheme="majorHAnsi" w:eastAsiaTheme="majorEastAsia" w:hAnsiTheme="majorHAnsi" w:cstheme="majorBidi"/>
      <w:i/>
      <w:sz w:val="24"/>
      <w:u w:val="single"/>
    </w:rPr>
  </w:style>
  <w:style w:type="character" w:customStyle="1" w:styleId="Heading9Char">
    <w:name w:val="Heading 9 Char"/>
    <w:basedOn w:val="DefaultParagraphFont"/>
    <w:link w:val="Heading9"/>
    <w:uiPriority w:val="2"/>
    <w:rsid w:val="009C2B8E"/>
    <w:rPr>
      <w:rFonts w:asciiTheme="majorHAnsi" w:eastAsiaTheme="majorEastAsia" w:hAnsiTheme="majorHAnsi" w:cstheme="majorBidi"/>
      <w:i/>
      <w:iCs/>
      <w:sz w:val="24"/>
    </w:rPr>
  </w:style>
  <w:style w:type="paragraph" w:styleId="ListNumber">
    <w:name w:val="List Number"/>
    <w:basedOn w:val="Normal"/>
    <w:uiPriority w:val="99"/>
    <w:qFormat/>
    <w:rsid w:val="009C2B8E"/>
    <w:pPr>
      <w:numPr>
        <w:numId w:val="6"/>
      </w:numPr>
      <w:spacing w:after="240"/>
    </w:pPr>
    <w:rPr>
      <w:rFonts w:ascii="Times New Roman" w:hAnsi="Times New Roman" w:cstheme="minorBidi"/>
      <w:lang w:bidi="en-US"/>
    </w:rPr>
  </w:style>
  <w:style w:type="paragraph" w:styleId="BlockText">
    <w:name w:val="Block Text"/>
    <w:basedOn w:val="Normal"/>
    <w:uiPriority w:val="99"/>
    <w:semiHidden/>
    <w:unhideWhenUsed/>
    <w:qFormat/>
    <w:rsid w:val="009C2B8E"/>
    <w:pPr>
      <w:spacing w:after="240"/>
      <w:ind w:left="1440" w:right="1440"/>
    </w:pPr>
    <w:rPr>
      <w:rFonts w:cstheme="minorBidi"/>
      <w:iCs/>
    </w:rPr>
  </w:style>
  <w:style w:type="character" w:customStyle="1" w:styleId="ListParagraphChar">
    <w:name w:val="List Paragraph Char"/>
    <w:link w:val="ListParagraph"/>
    <w:uiPriority w:val="34"/>
    <w:rsid w:val="009C2B8E"/>
    <w:rPr>
      <w:rFonts w:eastAsia="Calibri" w:cs="Arial"/>
      <w:szCs w:val="22"/>
    </w:rPr>
  </w:style>
  <w:style w:type="paragraph" w:styleId="TOCHeading">
    <w:name w:val="TOC Heading"/>
    <w:basedOn w:val="Heading1"/>
    <w:next w:val="Normal"/>
    <w:uiPriority w:val="39"/>
    <w:unhideWhenUsed/>
    <w:qFormat/>
    <w:rsid w:val="009C2B8E"/>
    <w:pPr>
      <w:keepLines/>
      <w:numPr>
        <w:numId w:val="0"/>
      </w:numPr>
      <w:spacing w:before="480" w:after="0" w:line="276" w:lineRule="auto"/>
      <w:jc w:val="left"/>
      <w:outlineLvl w:val="9"/>
    </w:pPr>
    <w:rPr>
      <w:rFonts w:ascii="Cambria" w:eastAsia="MS Gothic" w:hAnsi="Cambria"/>
      <w:smallCaps/>
      <w:color w:val="365F91"/>
      <w:szCs w:val="28"/>
      <w:lang w:eastAsia="ja-JP"/>
    </w:rPr>
  </w:style>
  <w:style w:type="character" w:customStyle="1" w:styleId="TableHeaderChar">
    <w:name w:val="Table Header Char"/>
    <w:basedOn w:val="DefaultParagraphFont"/>
    <w:link w:val="TableHeader"/>
    <w:rsid w:val="00733E4C"/>
    <w:rPr>
      <w:rFonts w:cs="Arial"/>
      <w:b/>
      <w:color w:val="000000" w:themeColor="text1"/>
      <w:sz w:val="24"/>
      <w:szCs w:val="24"/>
    </w:rPr>
  </w:style>
  <w:style w:type="table" w:styleId="TableGrid">
    <w:name w:val="Table Grid"/>
    <w:basedOn w:val="TableNormal"/>
    <w:uiPriority w:val="59"/>
    <w:rsid w:val="004A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Fonts">
    <w:name w:val="Small Fonts"/>
    <w:basedOn w:val="NoSpacing"/>
    <w:link w:val="SmallFontsChar"/>
    <w:rsid w:val="004A5291"/>
    <w:rPr>
      <w:smallCaps/>
    </w:rPr>
  </w:style>
  <w:style w:type="character" w:customStyle="1" w:styleId="NoSpacingChar">
    <w:name w:val="No Spacing Char"/>
    <w:basedOn w:val="DefaultParagraphFont"/>
    <w:link w:val="NoSpacing"/>
    <w:uiPriority w:val="1"/>
    <w:rsid w:val="009C2B8E"/>
    <w:rPr>
      <w:rFonts w:asciiTheme="minorHAnsi" w:eastAsiaTheme="minorEastAsia" w:hAnsiTheme="minorHAnsi" w:cs="Arial"/>
      <w:sz w:val="24"/>
      <w:szCs w:val="24"/>
    </w:rPr>
  </w:style>
  <w:style w:type="character" w:customStyle="1" w:styleId="SmallFontsChar">
    <w:name w:val="Small Fonts Char"/>
    <w:basedOn w:val="NoSpacingChar"/>
    <w:link w:val="SmallFonts"/>
    <w:rsid w:val="004A5291"/>
    <w:rPr>
      <w:rFonts w:asciiTheme="minorHAnsi" w:eastAsiaTheme="minorEastAsia" w:hAnsiTheme="minorHAnsi" w:cs="Arial"/>
      <w:smallCaps/>
      <w:sz w:val="24"/>
      <w:szCs w:val="24"/>
    </w:rPr>
  </w:style>
  <w:style w:type="paragraph" w:styleId="Revision">
    <w:name w:val="Revision"/>
    <w:hidden/>
    <w:uiPriority w:val="99"/>
    <w:semiHidden/>
    <w:rsid w:val="00AF38A6"/>
    <w:rPr>
      <w:rFonts w:asciiTheme="minorHAnsi" w:eastAsiaTheme="minorEastAsia" w:hAnsiTheme="minorHAnsi" w:cs="Arial"/>
      <w:sz w:val="24"/>
      <w:szCs w:val="24"/>
    </w:rPr>
  </w:style>
  <w:style w:type="paragraph" w:styleId="NormalWeb">
    <w:name w:val="Normal (Web)"/>
    <w:basedOn w:val="Normal"/>
    <w:link w:val="NormalWebChar"/>
    <w:uiPriority w:val="99"/>
    <w:unhideWhenUsed/>
    <w:rsid w:val="00C03AFF"/>
    <w:rPr>
      <w:rFonts w:ascii="Times New Roman" w:hAnsi="Times New Roman" w:cs="Times New Roman"/>
      <w:lang w:eastAsia="zh-CN"/>
    </w:rPr>
  </w:style>
  <w:style w:type="character" w:styleId="SubtleReference">
    <w:name w:val="Subtle Reference"/>
    <w:uiPriority w:val="31"/>
    <w:rsid w:val="00736B5A"/>
    <w:rPr>
      <w:smallCaps/>
    </w:rPr>
  </w:style>
  <w:style w:type="paragraph" w:customStyle="1" w:styleId="Default">
    <w:name w:val="Default"/>
    <w:rsid w:val="00F935B1"/>
    <w:pPr>
      <w:autoSpaceDE w:val="0"/>
      <w:autoSpaceDN w:val="0"/>
      <w:adjustRightInd w:val="0"/>
    </w:pPr>
    <w:rPr>
      <w:rFonts w:ascii="GEOIIA+Arial" w:hAnsi="GEOIIA+Arial" w:cs="GEOIIA+Arial"/>
      <w:color w:val="000000"/>
      <w:sz w:val="24"/>
      <w:szCs w:val="24"/>
    </w:rPr>
  </w:style>
  <w:style w:type="paragraph" w:styleId="BodyText">
    <w:name w:val="Body Text"/>
    <w:basedOn w:val="Normal"/>
    <w:link w:val="BodyTextChar"/>
    <w:autoRedefine/>
    <w:rsid w:val="0036023D"/>
    <w:pPr>
      <w:spacing w:line="480" w:lineRule="auto"/>
      <w:ind w:firstLine="720"/>
    </w:pPr>
    <w:rPr>
      <w:rFonts w:ascii="Times New Roman" w:hAnsi="Times New Roman" w:cs="Times New Roman"/>
      <w:color w:val="000000" w:themeColor="text1"/>
    </w:rPr>
  </w:style>
  <w:style w:type="character" w:customStyle="1" w:styleId="BodyTextChar">
    <w:name w:val="Body Text Char"/>
    <w:basedOn w:val="DefaultParagraphFont"/>
    <w:link w:val="BodyText"/>
    <w:rsid w:val="0036023D"/>
    <w:rPr>
      <w:rFonts w:eastAsiaTheme="minorEastAsia"/>
      <w:color w:val="000000" w:themeColor="text1"/>
      <w:sz w:val="24"/>
      <w:szCs w:val="24"/>
    </w:rPr>
  </w:style>
  <w:style w:type="paragraph" w:styleId="ListNumber2">
    <w:name w:val="List Number 2"/>
    <w:basedOn w:val="Normal"/>
    <w:uiPriority w:val="99"/>
    <w:rsid w:val="0036023D"/>
    <w:pPr>
      <w:tabs>
        <w:tab w:val="num" w:pos="1800"/>
      </w:tabs>
      <w:spacing w:after="240"/>
      <w:ind w:left="2160" w:hanging="360"/>
    </w:pPr>
    <w:rPr>
      <w:rFonts w:ascii="Times New Roman" w:hAnsi="Times New Roman" w:cstheme="minorBidi"/>
      <w:lang w:bidi="en-US"/>
    </w:rPr>
  </w:style>
  <w:style w:type="paragraph" w:styleId="ListNumber3">
    <w:name w:val="List Number 3"/>
    <w:basedOn w:val="Normal"/>
    <w:uiPriority w:val="99"/>
    <w:rsid w:val="0036023D"/>
    <w:pPr>
      <w:spacing w:after="240"/>
      <w:ind w:left="2520" w:hanging="360"/>
    </w:pPr>
    <w:rPr>
      <w:rFonts w:ascii="Times New Roman" w:hAnsi="Times New Roman" w:cstheme="minorBidi"/>
      <w:lang w:bidi="en-US"/>
    </w:rPr>
  </w:style>
  <w:style w:type="paragraph" w:customStyle="1" w:styleId="FirstLineIndent">
    <w:name w:val="First Line Indent"/>
    <w:basedOn w:val="Normal"/>
    <w:link w:val="FirstLineIndentChar"/>
    <w:rsid w:val="00683F01"/>
    <w:pPr>
      <w:spacing w:before="60" w:after="120"/>
      <w:ind w:firstLine="547"/>
    </w:pPr>
    <w:rPr>
      <w:rFonts w:ascii="Times New Roman" w:eastAsia="Times New Roman" w:hAnsi="Times New Roman" w:cs="Times New Roman"/>
      <w:sz w:val="22"/>
      <w:szCs w:val="22"/>
    </w:rPr>
  </w:style>
  <w:style w:type="character" w:customStyle="1" w:styleId="FirstLineIndentChar">
    <w:name w:val="First Line Indent Char"/>
    <w:basedOn w:val="DefaultParagraphFont"/>
    <w:link w:val="FirstLineIndent"/>
    <w:rsid w:val="00683F01"/>
    <w:rPr>
      <w:rFonts w:eastAsia="Times New Roman"/>
      <w:sz w:val="22"/>
      <w:szCs w:val="22"/>
    </w:rPr>
  </w:style>
  <w:style w:type="paragraph" w:customStyle="1" w:styleId="ReportBullet1">
    <w:name w:val="Report Bullet 1"/>
    <w:basedOn w:val="Normal"/>
    <w:rsid w:val="00683F01"/>
    <w:pPr>
      <w:numPr>
        <w:numId w:val="2"/>
      </w:numPr>
      <w:tabs>
        <w:tab w:val="clear" w:pos="1440"/>
        <w:tab w:val="num" w:pos="960"/>
        <w:tab w:val="right" w:leader="dot" w:pos="9120"/>
      </w:tabs>
      <w:spacing w:before="60" w:after="120" w:line="360" w:lineRule="auto"/>
      <w:ind w:left="960" w:hanging="480"/>
    </w:pPr>
    <w:rPr>
      <w:rFonts w:ascii="Times New Roman" w:eastAsia="Times New Roman" w:hAnsi="Times New Roman" w:cs="Times New Roman"/>
      <w:sz w:val="22"/>
      <w:szCs w:val="22"/>
    </w:rPr>
  </w:style>
  <w:style w:type="paragraph" w:customStyle="1" w:styleId="BoxText">
    <w:name w:val="Box Text"/>
    <w:basedOn w:val="NormalWeb"/>
    <w:link w:val="BoxTextChar"/>
    <w:rsid w:val="00DF3C38"/>
    <w:pPr>
      <w:jc w:val="center"/>
    </w:pPr>
    <w:rPr>
      <w:rFonts w:eastAsia="Calibri"/>
      <w:b/>
      <w:bCs/>
      <w:color w:val="000000" w:themeColor="text1"/>
      <w:kern w:val="24"/>
      <w:sz w:val="20"/>
      <w:szCs w:val="20"/>
    </w:rPr>
  </w:style>
  <w:style w:type="character" w:customStyle="1" w:styleId="NormalWebChar">
    <w:name w:val="Normal (Web) Char"/>
    <w:basedOn w:val="DefaultParagraphFont"/>
    <w:link w:val="NormalWeb"/>
    <w:uiPriority w:val="99"/>
    <w:rsid w:val="00DF3C38"/>
    <w:rPr>
      <w:rFonts w:eastAsiaTheme="minorEastAsia"/>
      <w:sz w:val="24"/>
      <w:szCs w:val="24"/>
      <w:lang w:eastAsia="zh-CN"/>
    </w:rPr>
  </w:style>
  <w:style w:type="character" w:customStyle="1" w:styleId="BoxTextChar">
    <w:name w:val="Box Text Char"/>
    <w:basedOn w:val="NormalWebChar"/>
    <w:link w:val="BoxText"/>
    <w:rsid w:val="00DF3C38"/>
    <w:rPr>
      <w:rFonts w:eastAsia="Calibri"/>
      <w:b/>
      <w:bCs/>
      <w:color w:val="000000"/>
      <w:kern w:val="24"/>
      <w:sz w:val="24"/>
      <w:szCs w:val="24"/>
      <w:lang w:eastAsia="zh-CN"/>
    </w:rPr>
  </w:style>
  <w:style w:type="paragraph" w:styleId="TableofFigures">
    <w:name w:val="table of figures"/>
    <w:basedOn w:val="Normal"/>
    <w:next w:val="Normal"/>
    <w:uiPriority w:val="99"/>
    <w:unhideWhenUsed/>
    <w:rsid w:val="00446B94"/>
  </w:style>
  <w:style w:type="character" w:customStyle="1" w:styleId="BulletedListChar">
    <w:name w:val="Bulleted List Char"/>
    <w:basedOn w:val="DefaultParagraphFont"/>
    <w:link w:val="BulletedList"/>
    <w:rsid w:val="009C2B8E"/>
    <w:rPr>
      <w:rFonts w:asciiTheme="minorHAnsi" w:eastAsiaTheme="minorEastAsia" w:hAnsiTheme="minorHAnsi" w:cs="Arial"/>
      <w:sz w:val="24"/>
      <w:szCs w:val="24"/>
    </w:rPr>
  </w:style>
  <w:style w:type="character" w:styleId="Strong">
    <w:name w:val="Strong"/>
    <w:basedOn w:val="DefaultParagraphFont"/>
    <w:uiPriority w:val="22"/>
    <w:qFormat/>
    <w:rsid w:val="009C2B8E"/>
    <w:rPr>
      <w:b/>
      <w:bCs/>
    </w:rPr>
  </w:style>
  <w:style w:type="character" w:customStyle="1" w:styleId="NumberedListChar">
    <w:name w:val="Numbered List Char"/>
    <w:basedOn w:val="DefaultParagraphFont"/>
    <w:link w:val="NumberedList"/>
    <w:rsid w:val="009C2B8E"/>
    <w:rPr>
      <w:rFonts w:asciiTheme="minorHAnsi" w:eastAsiaTheme="minorEastAsia" w:hAnsiTheme="minorHAnsi" w:cs="Arial"/>
      <w:sz w:val="24"/>
      <w:szCs w:val="24"/>
    </w:rPr>
  </w:style>
  <w:style w:type="paragraph" w:styleId="FootnoteText">
    <w:name w:val="footnote text"/>
    <w:aliases w:val="Char Char Char,Char Char,Char"/>
    <w:basedOn w:val="Normal"/>
    <w:link w:val="FootnoteTextChar1"/>
    <w:uiPriority w:val="99"/>
    <w:unhideWhenUsed/>
    <w:qFormat/>
    <w:rsid w:val="00401593"/>
    <w:pPr>
      <w:spacing w:after="60"/>
    </w:pPr>
    <w:rPr>
      <w:sz w:val="20"/>
      <w:szCs w:val="20"/>
    </w:rPr>
  </w:style>
  <w:style w:type="character" w:customStyle="1" w:styleId="FootnoteTextChar1">
    <w:name w:val="Footnote Text Char1"/>
    <w:aliases w:val="Char Char Char Char1,Char Char Char2,Char Char2"/>
    <w:basedOn w:val="DefaultParagraphFont"/>
    <w:link w:val="FootnoteText"/>
    <w:uiPriority w:val="99"/>
    <w:rsid w:val="00401593"/>
    <w:rPr>
      <w:rFonts w:asciiTheme="minorHAnsi" w:eastAsiaTheme="minorEastAsia" w:hAnsiTheme="minorHAnsi" w:cs="Arial"/>
    </w:rPr>
  </w:style>
  <w:style w:type="paragraph" w:customStyle="1" w:styleId="FootnoteTextcorrected">
    <w:name w:val="Footnote Text corrected"/>
    <w:basedOn w:val="Normal"/>
    <w:rsid w:val="00213B42"/>
    <w:rPr>
      <w:sz w:val="20"/>
      <w:szCs w:val="16"/>
    </w:rPr>
  </w:style>
  <w:style w:type="paragraph" w:customStyle="1" w:styleId="NumberedList">
    <w:name w:val="Numbered List"/>
    <w:basedOn w:val="BulletedList"/>
    <w:link w:val="NumberedListChar"/>
    <w:rsid w:val="009C2B8E"/>
    <w:pPr>
      <w:numPr>
        <w:numId w:val="0"/>
      </w:numPr>
      <w:ind w:left="1440" w:hanging="360"/>
    </w:pPr>
  </w:style>
  <w:style w:type="character" w:styleId="Emphasis">
    <w:name w:val="Emphasis"/>
    <w:uiPriority w:val="20"/>
    <w:qFormat/>
    <w:rsid w:val="009C2B8E"/>
    <w:rPr>
      <w:i/>
      <w:iCs/>
    </w:rPr>
  </w:style>
  <w:style w:type="table" w:customStyle="1" w:styleId="TableGrid1">
    <w:name w:val="Table Grid1"/>
    <w:basedOn w:val="TableNormal"/>
    <w:uiPriority w:val="59"/>
    <w:rsid w:val="00CA0BA7"/>
    <w:rPr>
      <w:rFonts w:cstheme="minorBid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7451"/>
    <w:rPr>
      <w:color w:val="319B42" w:themeColor="followedHyperlink"/>
      <w:u w:val="single"/>
    </w:rPr>
  </w:style>
  <w:style w:type="paragraph" w:styleId="EndnoteText">
    <w:name w:val="endnote text"/>
    <w:basedOn w:val="Normal"/>
    <w:link w:val="EndnoteTextChar"/>
    <w:uiPriority w:val="99"/>
    <w:semiHidden/>
    <w:unhideWhenUsed/>
    <w:rsid w:val="00470736"/>
    <w:rPr>
      <w:sz w:val="20"/>
      <w:szCs w:val="20"/>
    </w:rPr>
  </w:style>
  <w:style w:type="character" w:customStyle="1" w:styleId="EndnoteTextChar">
    <w:name w:val="Endnote Text Char"/>
    <w:basedOn w:val="DefaultParagraphFont"/>
    <w:link w:val="EndnoteText"/>
    <w:uiPriority w:val="99"/>
    <w:semiHidden/>
    <w:rsid w:val="00470736"/>
    <w:rPr>
      <w:rFonts w:asciiTheme="minorHAnsi" w:eastAsiaTheme="minorEastAsia" w:hAnsiTheme="minorHAnsi" w:cs="Arial"/>
    </w:rPr>
  </w:style>
  <w:style w:type="character" w:styleId="EndnoteReference">
    <w:name w:val="endnote reference"/>
    <w:basedOn w:val="DefaultParagraphFont"/>
    <w:uiPriority w:val="99"/>
    <w:semiHidden/>
    <w:unhideWhenUsed/>
    <w:rsid w:val="00470736"/>
    <w:rPr>
      <w:vertAlign w:val="superscript"/>
    </w:rPr>
  </w:style>
  <w:style w:type="paragraph" w:customStyle="1" w:styleId="NumberedParagraph">
    <w:name w:val="Numbered Paragraph"/>
    <w:basedOn w:val="ListParagraph"/>
    <w:qFormat/>
    <w:rsid w:val="00EE3037"/>
    <w:pPr>
      <w:numPr>
        <w:numId w:val="4"/>
      </w:numPr>
      <w:spacing w:after="240" w:line="240" w:lineRule="auto"/>
      <w:ind w:right="720"/>
      <w:contextualSpacing w:val="0"/>
    </w:pPr>
    <w:rPr>
      <w:rFonts w:eastAsiaTheme="minorHAns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143">
      <w:bodyDiv w:val="1"/>
      <w:marLeft w:val="0"/>
      <w:marRight w:val="0"/>
      <w:marTop w:val="0"/>
      <w:marBottom w:val="0"/>
      <w:divBdr>
        <w:top w:val="none" w:sz="0" w:space="0" w:color="auto"/>
        <w:left w:val="none" w:sz="0" w:space="0" w:color="auto"/>
        <w:bottom w:val="none" w:sz="0" w:space="0" w:color="auto"/>
        <w:right w:val="none" w:sz="0" w:space="0" w:color="auto"/>
      </w:divBdr>
    </w:div>
    <w:div w:id="36514151">
      <w:bodyDiv w:val="1"/>
      <w:marLeft w:val="0"/>
      <w:marRight w:val="0"/>
      <w:marTop w:val="0"/>
      <w:marBottom w:val="0"/>
      <w:divBdr>
        <w:top w:val="none" w:sz="0" w:space="0" w:color="auto"/>
        <w:left w:val="none" w:sz="0" w:space="0" w:color="auto"/>
        <w:bottom w:val="none" w:sz="0" w:space="0" w:color="auto"/>
        <w:right w:val="none" w:sz="0" w:space="0" w:color="auto"/>
      </w:divBdr>
    </w:div>
    <w:div w:id="37553993">
      <w:bodyDiv w:val="1"/>
      <w:marLeft w:val="0"/>
      <w:marRight w:val="0"/>
      <w:marTop w:val="0"/>
      <w:marBottom w:val="0"/>
      <w:divBdr>
        <w:top w:val="none" w:sz="0" w:space="0" w:color="auto"/>
        <w:left w:val="none" w:sz="0" w:space="0" w:color="auto"/>
        <w:bottom w:val="none" w:sz="0" w:space="0" w:color="auto"/>
        <w:right w:val="none" w:sz="0" w:space="0" w:color="auto"/>
      </w:divBdr>
    </w:div>
    <w:div w:id="39135014">
      <w:bodyDiv w:val="1"/>
      <w:marLeft w:val="0"/>
      <w:marRight w:val="0"/>
      <w:marTop w:val="0"/>
      <w:marBottom w:val="0"/>
      <w:divBdr>
        <w:top w:val="none" w:sz="0" w:space="0" w:color="auto"/>
        <w:left w:val="none" w:sz="0" w:space="0" w:color="auto"/>
        <w:bottom w:val="none" w:sz="0" w:space="0" w:color="auto"/>
        <w:right w:val="none" w:sz="0" w:space="0" w:color="auto"/>
      </w:divBdr>
    </w:div>
    <w:div w:id="63454483">
      <w:bodyDiv w:val="1"/>
      <w:marLeft w:val="0"/>
      <w:marRight w:val="0"/>
      <w:marTop w:val="0"/>
      <w:marBottom w:val="0"/>
      <w:divBdr>
        <w:top w:val="none" w:sz="0" w:space="0" w:color="auto"/>
        <w:left w:val="none" w:sz="0" w:space="0" w:color="auto"/>
        <w:bottom w:val="none" w:sz="0" w:space="0" w:color="auto"/>
        <w:right w:val="none" w:sz="0" w:space="0" w:color="auto"/>
      </w:divBdr>
      <w:divsChild>
        <w:div w:id="58673433">
          <w:marLeft w:val="0"/>
          <w:marRight w:val="0"/>
          <w:marTop w:val="0"/>
          <w:marBottom w:val="0"/>
          <w:divBdr>
            <w:top w:val="none" w:sz="0" w:space="0" w:color="auto"/>
            <w:left w:val="none" w:sz="0" w:space="0" w:color="auto"/>
            <w:bottom w:val="none" w:sz="0" w:space="0" w:color="auto"/>
            <w:right w:val="none" w:sz="0" w:space="0" w:color="auto"/>
          </w:divBdr>
        </w:div>
        <w:div w:id="97336868">
          <w:marLeft w:val="0"/>
          <w:marRight w:val="0"/>
          <w:marTop w:val="0"/>
          <w:marBottom w:val="0"/>
          <w:divBdr>
            <w:top w:val="none" w:sz="0" w:space="0" w:color="auto"/>
            <w:left w:val="none" w:sz="0" w:space="0" w:color="auto"/>
            <w:bottom w:val="none" w:sz="0" w:space="0" w:color="auto"/>
            <w:right w:val="none" w:sz="0" w:space="0" w:color="auto"/>
          </w:divBdr>
        </w:div>
        <w:div w:id="120460043">
          <w:marLeft w:val="0"/>
          <w:marRight w:val="0"/>
          <w:marTop w:val="0"/>
          <w:marBottom w:val="0"/>
          <w:divBdr>
            <w:top w:val="none" w:sz="0" w:space="0" w:color="auto"/>
            <w:left w:val="none" w:sz="0" w:space="0" w:color="auto"/>
            <w:bottom w:val="none" w:sz="0" w:space="0" w:color="auto"/>
            <w:right w:val="none" w:sz="0" w:space="0" w:color="auto"/>
          </w:divBdr>
        </w:div>
        <w:div w:id="134569338">
          <w:marLeft w:val="0"/>
          <w:marRight w:val="0"/>
          <w:marTop w:val="0"/>
          <w:marBottom w:val="0"/>
          <w:divBdr>
            <w:top w:val="none" w:sz="0" w:space="0" w:color="auto"/>
            <w:left w:val="none" w:sz="0" w:space="0" w:color="auto"/>
            <w:bottom w:val="none" w:sz="0" w:space="0" w:color="auto"/>
            <w:right w:val="none" w:sz="0" w:space="0" w:color="auto"/>
          </w:divBdr>
        </w:div>
        <w:div w:id="151604446">
          <w:marLeft w:val="0"/>
          <w:marRight w:val="0"/>
          <w:marTop w:val="0"/>
          <w:marBottom w:val="0"/>
          <w:divBdr>
            <w:top w:val="none" w:sz="0" w:space="0" w:color="auto"/>
            <w:left w:val="none" w:sz="0" w:space="0" w:color="auto"/>
            <w:bottom w:val="none" w:sz="0" w:space="0" w:color="auto"/>
            <w:right w:val="none" w:sz="0" w:space="0" w:color="auto"/>
          </w:divBdr>
        </w:div>
        <w:div w:id="625695346">
          <w:marLeft w:val="0"/>
          <w:marRight w:val="0"/>
          <w:marTop w:val="0"/>
          <w:marBottom w:val="0"/>
          <w:divBdr>
            <w:top w:val="none" w:sz="0" w:space="0" w:color="auto"/>
            <w:left w:val="none" w:sz="0" w:space="0" w:color="auto"/>
            <w:bottom w:val="none" w:sz="0" w:space="0" w:color="auto"/>
            <w:right w:val="none" w:sz="0" w:space="0" w:color="auto"/>
          </w:divBdr>
        </w:div>
        <w:div w:id="635914233">
          <w:marLeft w:val="0"/>
          <w:marRight w:val="0"/>
          <w:marTop w:val="0"/>
          <w:marBottom w:val="0"/>
          <w:divBdr>
            <w:top w:val="none" w:sz="0" w:space="0" w:color="auto"/>
            <w:left w:val="none" w:sz="0" w:space="0" w:color="auto"/>
            <w:bottom w:val="none" w:sz="0" w:space="0" w:color="auto"/>
            <w:right w:val="none" w:sz="0" w:space="0" w:color="auto"/>
          </w:divBdr>
        </w:div>
        <w:div w:id="759524843">
          <w:marLeft w:val="0"/>
          <w:marRight w:val="0"/>
          <w:marTop w:val="0"/>
          <w:marBottom w:val="0"/>
          <w:divBdr>
            <w:top w:val="none" w:sz="0" w:space="0" w:color="auto"/>
            <w:left w:val="none" w:sz="0" w:space="0" w:color="auto"/>
            <w:bottom w:val="none" w:sz="0" w:space="0" w:color="auto"/>
            <w:right w:val="none" w:sz="0" w:space="0" w:color="auto"/>
          </w:divBdr>
        </w:div>
        <w:div w:id="890001425">
          <w:marLeft w:val="0"/>
          <w:marRight w:val="0"/>
          <w:marTop w:val="0"/>
          <w:marBottom w:val="0"/>
          <w:divBdr>
            <w:top w:val="none" w:sz="0" w:space="0" w:color="auto"/>
            <w:left w:val="none" w:sz="0" w:space="0" w:color="auto"/>
            <w:bottom w:val="none" w:sz="0" w:space="0" w:color="auto"/>
            <w:right w:val="none" w:sz="0" w:space="0" w:color="auto"/>
          </w:divBdr>
        </w:div>
        <w:div w:id="1147742124">
          <w:marLeft w:val="0"/>
          <w:marRight w:val="0"/>
          <w:marTop w:val="0"/>
          <w:marBottom w:val="0"/>
          <w:divBdr>
            <w:top w:val="none" w:sz="0" w:space="0" w:color="auto"/>
            <w:left w:val="none" w:sz="0" w:space="0" w:color="auto"/>
            <w:bottom w:val="none" w:sz="0" w:space="0" w:color="auto"/>
            <w:right w:val="none" w:sz="0" w:space="0" w:color="auto"/>
          </w:divBdr>
        </w:div>
        <w:div w:id="1422987668">
          <w:marLeft w:val="0"/>
          <w:marRight w:val="0"/>
          <w:marTop w:val="0"/>
          <w:marBottom w:val="0"/>
          <w:divBdr>
            <w:top w:val="none" w:sz="0" w:space="0" w:color="auto"/>
            <w:left w:val="none" w:sz="0" w:space="0" w:color="auto"/>
            <w:bottom w:val="none" w:sz="0" w:space="0" w:color="auto"/>
            <w:right w:val="none" w:sz="0" w:space="0" w:color="auto"/>
          </w:divBdr>
        </w:div>
        <w:div w:id="1438404516">
          <w:marLeft w:val="0"/>
          <w:marRight w:val="0"/>
          <w:marTop w:val="0"/>
          <w:marBottom w:val="0"/>
          <w:divBdr>
            <w:top w:val="none" w:sz="0" w:space="0" w:color="auto"/>
            <w:left w:val="none" w:sz="0" w:space="0" w:color="auto"/>
            <w:bottom w:val="none" w:sz="0" w:space="0" w:color="auto"/>
            <w:right w:val="none" w:sz="0" w:space="0" w:color="auto"/>
          </w:divBdr>
        </w:div>
        <w:div w:id="1441338831">
          <w:marLeft w:val="0"/>
          <w:marRight w:val="0"/>
          <w:marTop w:val="0"/>
          <w:marBottom w:val="0"/>
          <w:divBdr>
            <w:top w:val="none" w:sz="0" w:space="0" w:color="auto"/>
            <w:left w:val="none" w:sz="0" w:space="0" w:color="auto"/>
            <w:bottom w:val="none" w:sz="0" w:space="0" w:color="auto"/>
            <w:right w:val="none" w:sz="0" w:space="0" w:color="auto"/>
          </w:divBdr>
        </w:div>
        <w:div w:id="1528565219">
          <w:marLeft w:val="0"/>
          <w:marRight w:val="0"/>
          <w:marTop w:val="0"/>
          <w:marBottom w:val="0"/>
          <w:divBdr>
            <w:top w:val="none" w:sz="0" w:space="0" w:color="auto"/>
            <w:left w:val="none" w:sz="0" w:space="0" w:color="auto"/>
            <w:bottom w:val="none" w:sz="0" w:space="0" w:color="auto"/>
            <w:right w:val="none" w:sz="0" w:space="0" w:color="auto"/>
          </w:divBdr>
        </w:div>
        <w:div w:id="1809973552">
          <w:marLeft w:val="0"/>
          <w:marRight w:val="0"/>
          <w:marTop w:val="0"/>
          <w:marBottom w:val="0"/>
          <w:divBdr>
            <w:top w:val="none" w:sz="0" w:space="0" w:color="auto"/>
            <w:left w:val="none" w:sz="0" w:space="0" w:color="auto"/>
            <w:bottom w:val="none" w:sz="0" w:space="0" w:color="auto"/>
            <w:right w:val="none" w:sz="0" w:space="0" w:color="auto"/>
          </w:divBdr>
        </w:div>
        <w:div w:id="1936671429">
          <w:marLeft w:val="0"/>
          <w:marRight w:val="0"/>
          <w:marTop w:val="0"/>
          <w:marBottom w:val="0"/>
          <w:divBdr>
            <w:top w:val="none" w:sz="0" w:space="0" w:color="auto"/>
            <w:left w:val="none" w:sz="0" w:space="0" w:color="auto"/>
            <w:bottom w:val="none" w:sz="0" w:space="0" w:color="auto"/>
            <w:right w:val="none" w:sz="0" w:space="0" w:color="auto"/>
          </w:divBdr>
        </w:div>
        <w:div w:id="1971551388">
          <w:marLeft w:val="0"/>
          <w:marRight w:val="0"/>
          <w:marTop w:val="0"/>
          <w:marBottom w:val="0"/>
          <w:divBdr>
            <w:top w:val="none" w:sz="0" w:space="0" w:color="auto"/>
            <w:left w:val="none" w:sz="0" w:space="0" w:color="auto"/>
            <w:bottom w:val="none" w:sz="0" w:space="0" w:color="auto"/>
            <w:right w:val="none" w:sz="0" w:space="0" w:color="auto"/>
          </w:divBdr>
        </w:div>
        <w:div w:id="2085518925">
          <w:marLeft w:val="0"/>
          <w:marRight w:val="0"/>
          <w:marTop w:val="0"/>
          <w:marBottom w:val="0"/>
          <w:divBdr>
            <w:top w:val="none" w:sz="0" w:space="0" w:color="auto"/>
            <w:left w:val="none" w:sz="0" w:space="0" w:color="auto"/>
            <w:bottom w:val="none" w:sz="0" w:space="0" w:color="auto"/>
            <w:right w:val="none" w:sz="0" w:space="0" w:color="auto"/>
          </w:divBdr>
        </w:div>
      </w:divsChild>
    </w:div>
    <w:div w:id="77292359">
      <w:bodyDiv w:val="1"/>
      <w:marLeft w:val="0"/>
      <w:marRight w:val="0"/>
      <w:marTop w:val="0"/>
      <w:marBottom w:val="0"/>
      <w:divBdr>
        <w:top w:val="none" w:sz="0" w:space="0" w:color="auto"/>
        <w:left w:val="none" w:sz="0" w:space="0" w:color="auto"/>
        <w:bottom w:val="none" w:sz="0" w:space="0" w:color="auto"/>
        <w:right w:val="none" w:sz="0" w:space="0" w:color="auto"/>
      </w:divBdr>
    </w:div>
    <w:div w:id="81268660">
      <w:bodyDiv w:val="1"/>
      <w:marLeft w:val="0"/>
      <w:marRight w:val="0"/>
      <w:marTop w:val="0"/>
      <w:marBottom w:val="0"/>
      <w:divBdr>
        <w:top w:val="none" w:sz="0" w:space="0" w:color="auto"/>
        <w:left w:val="none" w:sz="0" w:space="0" w:color="auto"/>
        <w:bottom w:val="none" w:sz="0" w:space="0" w:color="auto"/>
        <w:right w:val="none" w:sz="0" w:space="0" w:color="auto"/>
      </w:divBdr>
    </w:div>
    <w:div w:id="113670958">
      <w:bodyDiv w:val="1"/>
      <w:marLeft w:val="0"/>
      <w:marRight w:val="0"/>
      <w:marTop w:val="0"/>
      <w:marBottom w:val="0"/>
      <w:divBdr>
        <w:top w:val="none" w:sz="0" w:space="0" w:color="auto"/>
        <w:left w:val="none" w:sz="0" w:space="0" w:color="auto"/>
        <w:bottom w:val="none" w:sz="0" w:space="0" w:color="auto"/>
        <w:right w:val="none" w:sz="0" w:space="0" w:color="auto"/>
      </w:divBdr>
    </w:div>
    <w:div w:id="141627524">
      <w:bodyDiv w:val="1"/>
      <w:marLeft w:val="0"/>
      <w:marRight w:val="0"/>
      <w:marTop w:val="0"/>
      <w:marBottom w:val="0"/>
      <w:divBdr>
        <w:top w:val="none" w:sz="0" w:space="0" w:color="auto"/>
        <w:left w:val="none" w:sz="0" w:space="0" w:color="auto"/>
        <w:bottom w:val="none" w:sz="0" w:space="0" w:color="auto"/>
        <w:right w:val="none" w:sz="0" w:space="0" w:color="auto"/>
      </w:divBdr>
    </w:div>
    <w:div w:id="160656355">
      <w:bodyDiv w:val="1"/>
      <w:marLeft w:val="0"/>
      <w:marRight w:val="0"/>
      <w:marTop w:val="0"/>
      <w:marBottom w:val="0"/>
      <w:divBdr>
        <w:top w:val="none" w:sz="0" w:space="0" w:color="auto"/>
        <w:left w:val="none" w:sz="0" w:space="0" w:color="auto"/>
        <w:bottom w:val="none" w:sz="0" w:space="0" w:color="auto"/>
        <w:right w:val="none" w:sz="0" w:space="0" w:color="auto"/>
      </w:divBdr>
    </w:div>
    <w:div w:id="280304777">
      <w:bodyDiv w:val="1"/>
      <w:marLeft w:val="0"/>
      <w:marRight w:val="0"/>
      <w:marTop w:val="0"/>
      <w:marBottom w:val="0"/>
      <w:divBdr>
        <w:top w:val="none" w:sz="0" w:space="0" w:color="auto"/>
        <w:left w:val="none" w:sz="0" w:space="0" w:color="auto"/>
        <w:bottom w:val="none" w:sz="0" w:space="0" w:color="auto"/>
        <w:right w:val="none" w:sz="0" w:space="0" w:color="auto"/>
      </w:divBdr>
    </w:div>
    <w:div w:id="314920750">
      <w:bodyDiv w:val="1"/>
      <w:marLeft w:val="0"/>
      <w:marRight w:val="0"/>
      <w:marTop w:val="0"/>
      <w:marBottom w:val="0"/>
      <w:divBdr>
        <w:top w:val="none" w:sz="0" w:space="0" w:color="auto"/>
        <w:left w:val="none" w:sz="0" w:space="0" w:color="auto"/>
        <w:bottom w:val="none" w:sz="0" w:space="0" w:color="auto"/>
        <w:right w:val="none" w:sz="0" w:space="0" w:color="auto"/>
      </w:divBdr>
    </w:div>
    <w:div w:id="320621007">
      <w:bodyDiv w:val="1"/>
      <w:marLeft w:val="0"/>
      <w:marRight w:val="0"/>
      <w:marTop w:val="0"/>
      <w:marBottom w:val="0"/>
      <w:divBdr>
        <w:top w:val="none" w:sz="0" w:space="0" w:color="auto"/>
        <w:left w:val="none" w:sz="0" w:space="0" w:color="auto"/>
        <w:bottom w:val="none" w:sz="0" w:space="0" w:color="auto"/>
        <w:right w:val="none" w:sz="0" w:space="0" w:color="auto"/>
      </w:divBdr>
    </w:div>
    <w:div w:id="357464812">
      <w:bodyDiv w:val="1"/>
      <w:marLeft w:val="0"/>
      <w:marRight w:val="0"/>
      <w:marTop w:val="0"/>
      <w:marBottom w:val="0"/>
      <w:divBdr>
        <w:top w:val="none" w:sz="0" w:space="0" w:color="auto"/>
        <w:left w:val="none" w:sz="0" w:space="0" w:color="auto"/>
        <w:bottom w:val="none" w:sz="0" w:space="0" w:color="auto"/>
        <w:right w:val="none" w:sz="0" w:space="0" w:color="auto"/>
      </w:divBdr>
    </w:div>
    <w:div w:id="367295944">
      <w:bodyDiv w:val="1"/>
      <w:marLeft w:val="0"/>
      <w:marRight w:val="0"/>
      <w:marTop w:val="0"/>
      <w:marBottom w:val="0"/>
      <w:divBdr>
        <w:top w:val="none" w:sz="0" w:space="0" w:color="auto"/>
        <w:left w:val="none" w:sz="0" w:space="0" w:color="auto"/>
        <w:bottom w:val="none" w:sz="0" w:space="0" w:color="auto"/>
        <w:right w:val="none" w:sz="0" w:space="0" w:color="auto"/>
      </w:divBdr>
    </w:div>
    <w:div w:id="385490295">
      <w:bodyDiv w:val="1"/>
      <w:marLeft w:val="0"/>
      <w:marRight w:val="0"/>
      <w:marTop w:val="0"/>
      <w:marBottom w:val="0"/>
      <w:divBdr>
        <w:top w:val="none" w:sz="0" w:space="0" w:color="auto"/>
        <w:left w:val="none" w:sz="0" w:space="0" w:color="auto"/>
        <w:bottom w:val="none" w:sz="0" w:space="0" w:color="auto"/>
        <w:right w:val="none" w:sz="0" w:space="0" w:color="auto"/>
      </w:divBdr>
    </w:div>
    <w:div w:id="399256444">
      <w:bodyDiv w:val="1"/>
      <w:marLeft w:val="0"/>
      <w:marRight w:val="0"/>
      <w:marTop w:val="0"/>
      <w:marBottom w:val="0"/>
      <w:divBdr>
        <w:top w:val="none" w:sz="0" w:space="0" w:color="auto"/>
        <w:left w:val="none" w:sz="0" w:space="0" w:color="auto"/>
        <w:bottom w:val="none" w:sz="0" w:space="0" w:color="auto"/>
        <w:right w:val="none" w:sz="0" w:space="0" w:color="auto"/>
      </w:divBdr>
      <w:divsChild>
        <w:div w:id="1474450148">
          <w:marLeft w:val="0"/>
          <w:marRight w:val="0"/>
          <w:marTop w:val="0"/>
          <w:marBottom w:val="0"/>
          <w:divBdr>
            <w:top w:val="none" w:sz="0" w:space="0" w:color="auto"/>
            <w:left w:val="none" w:sz="0" w:space="0" w:color="auto"/>
            <w:bottom w:val="none" w:sz="0" w:space="0" w:color="auto"/>
            <w:right w:val="none" w:sz="0" w:space="0" w:color="auto"/>
          </w:divBdr>
        </w:div>
      </w:divsChild>
    </w:div>
    <w:div w:id="430050642">
      <w:bodyDiv w:val="1"/>
      <w:marLeft w:val="0"/>
      <w:marRight w:val="0"/>
      <w:marTop w:val="0"/>
      <w:marBottom w:val="0"/>
      <w:divBdr>
        <w:top w:val="none" w:sz="0" w:space="0" w:color="auto"/>
        <w:left w:val="none" w:sz="0" w:space="0" w:color="auto"/>
        <w:bottom w:val="none" w:sz="0" w:space="0" w:color="auto"/>
        <w:right w:val="none" w:sz="0" w:space="0" w:color="auto"/>
      </w:divBdr>
    </w:div>
    <w:div w:id="447622422">
      <w:bodyDiv w:val="1"/>
      <w:marLeft w:val="0"/>
      <w:marRight w:val="0"/>
      <w:marTop w:val="0"/>
      <w:marBottom w:val="0"/>
      <w:divBdr>
        <w:top w:val="none" w:sz="0" w:space="0" w:color="auto"/>
        <w:left w:val="none" w:sz="0" w:space="0" w:color="auto"/>
        <w:bottom w:val="none" w:sz="0" w:space="0" w:color="auto"/>
        <w:right w:val="none" w:sz="0" w:space="0" w:color="auto"/>
      </w:divBdr>
    </w:div>
    <w:div w:id="498077229">
      <w:bodyDiv w:val="1"/>
      <w:marLeft w:val="0"/>
      <w:marRight w:val="0"/>
      <w:marTop w:val="0"/>
      <w:marBottom w:val="0"/>
      <w:divBdr>
        <w:top w:val="none" w:sz="0" w:space="0" w:color="auto"/>
        <w:left w:val="none" w:sz="0" w:space="0" w:color="auto"/>
        <w:bottom w:val="none" w:sz="0" w:space="0" w:color="auto"/>
        <w:right w:val="none" w:sz="0" w:space="0" w:color="auto"/>
      </w:divBdr>
      <w:divsChild>
        <w:div w:id="600576842">
          <w:marLeft w:val="0"/>
          <w:marRight w:val="0"/>
          <w:marTop w:val="0"/>
          <w:marBottom w:val="0"/>
          <w:divBdr>
            <w:top w:val="none" w:sz="0" w:space="0" w:color="auto"/>
            <w:left w:val="none" w:sz="0" w:space="0" w:color="auto"/>
            <w:bottom w:val="none" w:sz="0" w:space="0" w:color="auto"/>
            <w:right w:val="none" w:sz="0" w:space="0" w:color="auto"/>
          </w:divBdr>
        </w:div>
        <w:div w:id="1025445823">
          <w:marLeft w:val="0"/>
          <w:marRight w:val="0"/>
          <w:marTop w:val="0"/>
          <w:marBottom w:val="0"/>
          <w:divBdr>
            <w:top w:val="none" w:sz="0" w:space="0" w:color="auto"/>
            <w:left w:val="none" w:sz="0" w:space="0" w:color="auto"/>
            <w:bottom w:val="none" w:sz="0" w:space="0" w:color="auto"/>
            <w:right w:val="none" w:sz="0" w:space="0" w:color="auto"/>
          </w:divBdr>
        </w:div>
        <w:div w:id="1781100166">
          <w:marLeft w:val="0"/>
          <w:marRight w:val="0"/>
          <w:marTop w:val="0"/>
          <w:marBottom w:val="0"/>
          <w:divBdr>
            <w:top w:val="none" w:sz="0" w:space="0" w:color="auto"/>
            <w:left w:val="none" w:sz="0" w:space="0" w:color="auto"/>
            <w:bottom w:val="none" w:sz="0" w:space="0" w:color="auto"/>
            <w:right w:val="none" w:sz="0" w:space="0" w:color="auto"/>
          </w:divBdr>
        </w:div>
      </w:divsChild>
    </w:div>
    <w:div w:id="501899185">
      <w:bodyDiv w:val="1"/>
      <w:marLeft w:val="0"/>
      <w:marRight w:val="0"/>
      <w:marTop w:val="0"/>
      <w:marBottom w:val="0"/>
      <w:divBdr>
        <w:top w:val="none" w:sz="0" w:space="0" w:color="auto"/>
        <w:left w:val="none" w:sz="0" w:space="0" w:color="auto"/>
        <w:bottom w:val="none" w:sz="0" w:space="0" w:color="auto"/>
        <w:right w:val="none" w:sz="0" w:space="0" w:color="auto"/>
      </w:divBdr>
    </w:div>
    <w:div w:id="549347584">
      <w:bodyDiv w:val="1"/>
      <w:marLeft w:val="0"/>
      <w:marRight w:val="0"/>
      <w:marTop w:val="0"/>
      <w:marBottom w:val="0"/>
      <w:divBdr>
        <w:top w:val="none" w:sz="0" w:space="0" w:color="auto"/>
        <w:left w:val="none" w:sz="0" w:space="0" w:color="auto"/>
        <w:bottom w:val="none" w:sz="0" w:space="0" w:color="auto"/>
        <w:right w:val="none" w:sz="0" w:space="0" w:color="auto"/>
      </w:divBdr>
    </w:div>
    <w:div w:id="561328982">
      <w:bodyDiv w:val="1"/>
      <w:marLeft w:val="0"/>
      <w:marRight w:val="0"/>
      <w:marTop w:val="0"/>
      <w:marBottom w:val="0"/>
      <w:divBdr>
        <w:top w:val="none" w:sz="0" w:space="0" w:color="auto"/>
        <w:left w:val="none" w:sz="0" w:space="0" w:color="auto"/>
        <w:bottom w:val="none" w:sz="0" w:space="0" w:color="auto"/>
        <w:right w:val="none" w:sz="0" w:space="0" w:color="auto"/>
      </w:divBdr>
    </w:div>
    <w:div w:id="607199318">
      <w:bodyDiv w:val="1"/>
      <w:marLeft w:val="0"/>
      <w:marRight w:val="0"/>
      <w:marTop w:val="0"/>
      <w:marBottom w:val="0"/>
      <w:divBdr>
        <w:top w:val="none" w:sz="0" w:space="0" w:color="auto"/>
        <w:left w:val="none" w:sz="0" w:space="0" w:color="auto"/>
        <w:bottom w:val="none" w:sz="0" w:space="0" w:color="auto"/>
        <w:right w:val="none" w:sz="0" w:space="0" w:color="auto"/>
      </w:divBdr>
    </w:div>
    <w:div w:id="673800365">
      <w:bodyDiv w:val="1"/>
      <w:marLeft w:val="0"/>
      <w:marRight w:val="0"/>
      <w:marTop w:val="0"/>
      <w:marBottom w:val="0"/>
      <w:divBdr>
        <w:top w:val="none" w:sz="0" w:space="0" w:color="auto"/>
        <w:left w:val="none" w:sz="0" w:space="0" w:color="auto"/>
        <w:bottom w:val="none" w:sz="0" w:space="0" w:color="auto"/>
        <w:right w:val="none" w:sz="0" w:space="0" w:color="auto"/>
      </w:divBdr>
    </w:div>
    <w:div w:id="709645281">
      <w:bodyDiv w:val="1"/>
      <w:marLeft w:val="0"/>
      <w:marRight w:val="0"/>
      <w:marTop w:val="0"/>
      <w:marBottom w:val="0"/>
      <w:divBdr>
        <w:top w:val="none" w:sz="0" w:space="0" w:color="auto"/>
        <w:left w:val="none" w:sz="0" w:space="0" w:color="auto"/>
        <w:bottom w:val="none" w:sz="0" w:space="0" w:color="auto"/>
        <w:right w:val="none" w:sz="0" w:space="0" w:color="auto"/>
      </w:divBdr>
    </w:div>
    <w:div w:id="764224689">
      <w:bodyDiv w:val="1"/>
      <w:marLeft w:val="0"/>
      <w:marRight w:val="0"/>
      <w:marTop w:val="0"/>
      <w:marBottom w:val="0"/>
      <w:divBdr>
        <w:top w:val="none" w:sz="0" w:space="0" w:color="auto"/>
        <w:left w:val="none" w:sz="0" w:space="0" w:color="auto"/>
        <w:bottom w:val="none" w:sz="0" w:space="0" w:color="auto"/>
        <w:right w:val="none" w:sz="0" w:space="0" w:color="auto"/>
      </w:divBdr>
    </w:div>
    <w:div w:id="828910729">
      <w:bodyDiv w:val="1"/>
      <w:marLeft w:val="0"/>
      <w:marRight w:val="0"/>
      <w:marTop w:val="0"/>
      <w:marBottom w:val="0"/>
      <w:divBdr>
        <w:top w:val="none" w:sz="0" w:space="0" w:color="auto"/>
        <w:left w:val="none" w:sz="0" w:space="0" w:color="auto"/>
        <w:bottom w:val="none" w:sz="0" w:space="0" w:color="auto"/>
        <w:right w:val="none" w:sz="0" w:space="0" w:color="auto"/>
      </w:divBdr>
    </w:div>
    <w:div w:id="900867121">
      <w:bodyDiv w:val="1"/>
      <w:marLeft w:val="0"/>
      <w:marRight w:val="0"/>
      <w:marTop w:val="0"/>
      <w:marBottom w:val="0"/>
      <w:divBdr>
        <w:top w:val="none" w:sz="0" w:space="0" w:color="auto"/>
        <w:left w:val="none" w:sz="0" w:space="0" w:color="auto"/>
        <w:bottom w:val="none" w:sz="0" w:space="0" w:color="auto"/>
        <w:right w:val="none" w:sz="0" w:space="0" w:color="auto"/>
      </w:divBdr>
    </w:div>
    <w:div w:id="999191801">
      <w:bodyDiv w:val="1"/>
      <w:marLeft w:val="0"/>
      <w:marRight w:val="0"/>
      <w:marTop w:val="0"/>
      <w:marBottom w:val="0"/>
      <w:divBdr>
        <w:top w:val="none" w:sz="0" w:space="0" w:color="auto"/>
        <w:left w:val="none" w:sz="0" w:space="0" w:color="auto"/>
        <w:bottom w:val="none" w:sz="0" w:space="0" w:color="auto"/>
        <w:right w:val="none" w:sz="0" w:space="0" w:color="auto"/>
      </w:divBdr>
    </w:div>
    <w:div w:id="1001663639">
      <w:bodyDiv w:val="1"/>
      <w:marLeft w:val="0"/>
      <w:marRight w:val="0"/>
      <w:marTop w:val="0"/>
      <w:marBottom w:val="0"/>
      <w:divBdr>
        <w:top w:val="none" w:sz="0" w:space="0" w:color="auto"/>
        <w:left w:val="none" w:sz="0" w:space="0" w:color="auto"/>
        <w:bottom w:val="none" w:sz="0" w:space="0" w:color="auto"/>
        <w:right w:val="none" w:sz="0" w:space="0" w:color="auto"/>
      </w:divBdr>
    </w:div>
    <w:div w:id="1026175232">
      <w:bodyDiv w:val="1"/>
      <w:marLeft w:val="0"/>
      <w:marRight w:val="0"/>
      <w:marTop w:val="0"/>
      <w:marBottom w:val="0"/>
      <w:divBdr>
        <w:top w:val="none" w:sz="0" w:space="0" w:color="auto"/>
        <w:left w:val="none" w:sz="0" w:space="0" w:color="auto"/>
        <w:bottom w:val="none" w:sz="0" w:space="0" w:color="auto"/>
        <w:right w:val="none" w:sz="0" w:space="0" w:color="auto"/>
      </w:divBdr>
    </w:div>
    <w:div w:id="1044215361">
      <w:bodyDiv w:val="1"/>
      <w:marLeft w:val="0"/>
      <w:marRight w:val="0"/>
      <w:marTop w:val="0"/>
      <w:marBottom w:val="0"/>
      <w:divBdr>
        <w:top w:val="none" w:sz="0" w:space="0" w:color="auto"/>
        <w:left w:val="none" w:sz="0" w:space="0" w:color="auto"/>
        <w:bottom w:val="none" w:sz="0" w:space="0" w:color="auto"/>
        <w:right w:val="none" w:sz="0" w:space="0" w:color="auto"/>
      </w:divBdr>
    </w:div>
    <w:div w:id="1064135525">
      <w:bodyDiv w:val="1"/>
      <w:marLeft w:val="0"/>
      <w:marRight w:val="0"/>
      <w:marTop w:val="0"/>
      <w:marBottom w:val="0"/>
      <w:divBdr>
        <w:top w:val="none" w:sz="0" w:space="0" w:color="auto"/>
        <w:left w:val="none" w:sz="0" w:space="0" w:color="auto"/>
        <w:bottom w:val="none" w:sz="0" w:space="0" w:color="auto"/>
        <w:right w:val="none" w:sz="0" w:space="0" w:color="auto"/>
      </w:divBdr>
    </w:div>
    <w:div w:id="1069422805">
      <w:bodyDiv w:val="1"/>
      <w:marLeft w:val="0"/>
      <w:marRight w:val="0"/>
      <w:marTop w:val="0"/>
      <w:marBottom w:val="0"/>
      <w:divBdr>
        <w:top w:val="none" w:sz="0" w:space="0" w:color="auto"/>
        <w:left w:val="none" w:sz="0" w:space="0" w:color="auto"/>
        <w:bottom w:val="none" w:sz="0" w:space="0" w:color="auto"/>
        <w:right w:val="none" w:sz="0" w:space="0" w:color="auto"/>
      </w:divBdr>
    </w:div>
    <w:div w:id="1075737552">
      <w:bodyDiv w:val="1"/>
      <w:marLeft w:val="0"/>
      <w:marRight w:val="0"/>
      <w:marTop w:val="0"/>
      <w:marBottom w:val="0"/>
      <w:divBdr>
        <w:top w:val="none" w:sz="0" w:space="0" w:color="auto"/>
        <w:left w:val="none" w:sz="0" w:space="0" w:color="auto"/>
        <w:bottom w:val="none" w:sz="0" w:space="0" w:color="auto"/>
        <w:right w:val="none" w:sz="0" w:space="0" w:color="auto"/>
      </w:divBdr>
    </w:div>
    <w:div w:id="1146816917">
      <w:bodyDiv w:val="1"/>
      <w:marLeft w:val="0"/>
      <w:marRight w:val="0"/>
      <w:marTop w:val="0"/>
      <w:marBottom w:val="0"/>
      <w:divBdr>
        <w:top w:val="none" w:sz="0" w:space="0" w:color="auto"/>
        <w:left w:val="none" w:sz="0" w:space="0" w:color="auto"/>
        <w:bottom w:val="none" w:sz="0" w:space="0" w:color="auto"/>
        <w:right w:val="none" w:sz="0" w:space="0" w:color="auto"/>
      </w:divBdr>
    </w:div>
    <w:div w:id="1171916122">
      <w:bodyDiv w:val="1"/>
      <w:marLeft w:val="0"/>
      <w:marRight w:val="0"/>
      <w:marTop w:val="0"/>
      <w:marBottom w:val="0"/>
      <w:divBdr>
        <w:top w:val="none" w:sz="0" w:space="0" w:color="auto"/>
        <w:left w:val="none" w:sz="0" w:space="0" w:color="auto"/>
        <w:bottom w:val="none" w:sz="0" w:space="0" w:color="auto"/>
        <w:right w:val="none" w:sz="0" w:space="0" w:color="auto"/>
      </w:divBdr>
    </w:div>
    <w:div w:id="1178538774">
      <w:bodyDiv w:val="1"/>
      <w:marLeft w:val="0"/>
      <w:marRight w:val="0"/>
      <w:marTop w:val="0"/>
      <w:marBottom w:val="0"/>
      <w:divBdr>
        <w:top w:val="none" w:sz="0" w:space="0" w:color="auto"/>
        <w:left w:val="none" w:sz="0" w:space="0" w:color="auto"/>
        <w:bottom w:val="none" w:sz="0" w:space="0" w:color="auto"/>
        <w:right w:val="none" w:sz="0" w:space="0" w:color="auto"/>
      </w:divBdr>
    </w:div>
    <w:div w:id="1218084803">
      <w:bodyDiv w:val="1"/>
      <w:marLeft w:val="0"/>
      <w:marRight w:val="0"/>
      <w:marTop w:val="0"/>
      <w:marBottom w:val="0"/>
      <w:divBdr>
        <w:top w:val="none" w:sz="0" w:space="0" w:color="auto"/>
        <w:left w:val="none" w:sz="0" w:space="0" w:color="auto"/>
        <w:bottom w:val="none" w:sz="0" w:space="0" w:color="auto"/>
        <w:right w:val="none" w:sz="0" w:space="0" w:color="auto"/>
      </w:divBdr>
      <w:divsChild>
        <w:div w:id="27529438">
          <w:marLeft w:val="0"/>
          <w:marRight w:val="0"/>
          <w:marTop w:val="0"/>
          <w:marBottom w:val="0"/>
          <w:divBdr>
            <w:top w:val="none" w:sz="0" w:space="0" w:color="auto"/>
            <w:left w:val="none" w:sz="0" w:space="0" w:color="auto"/>
            <w:bottom w:val="none" w:sz="0" w:space="0" w:color="auto"/>
            <w:right w:val="none" w:sz="0" w:space="0" w:color="auto"/>
          </w:divBdr>
        </w:div>
        <w:div w:id="87313180">
          <w:marLeft w:val="0"/>
          <w:marRight w:val="0"/>
          <w:marTop w:val="0"/>
          <w:marBottom w:val="0"/>
          <w:divBdr>
            <w:top w:val="none" w:sz="0" w:space="0" w:color="auto"/>
            <w:left w:val="none" w:sz="0" w:space="0" w:color="auto"/>
            <w:bottom w:val="none" w:sz="0" w:space="0" w:color="auto"/>
            <w:right w:val="none" w:sz="0" w:space="0" w:color="auto"/>
          </w:divBdr>
        </w:div>
        <w:div w:id="116144017">
          <w:marLeft w:val="0"/>
          <w:marRight w:val="0"/>
          <w:marTop w:val="0"/>
          <w:marBottom w:val="0"/>
          <w:divBdr>
            <w:top w:val="none" w:sz="0" w:space="0" w:color="auto"/>
            <w:left w:val="none" w:sz="0" w:space="0" w:color="auto"/>
            <w:bottom w:val="none" w:sz="0" w:space="0" w:color="auto"/>
            <w:right w:val="none" w:sz="0" w:space="0" w:color="auto"/>
          </w:divBdr>
        </w:div>
        <w:div w:id="245891616">
          <w:marLeft w:val="0"/>
          <w:marRight w:val="0"/>
          <w:marTop w:val="0"/>
          <w:marBottom w:val="0"/>
          <w:divBdr>
            <w:top w:val="none" w:sz="0" w:space="0" w:color="auto"/>
            <w:left w:val="none" w:sz="0" w:space="0" w:color="auto"/>
            <w:bottom w:val="none" w:sz="0" w:space="0" w:color="auto"/>
            <w:right w:val="none" w:sz="0" w:space="0" w:color="auto"/>
          </w:divBdr>
        </w:div>
        <w:div w:id="284044276">
          <w:marLeft w:val="0"/>
          <w:marRight w:val="0"/>
          <w:marTop w:val="0"/>
          <w:marBottom w:val="0"/>
          <w:divBdr>
            <w:top w:val="none" w:sz="0" w:space="0" w:color="auto"/>
            <w:left w:val="none" w:sz="0" w:space="0" w:color="auto"/>
            <w:bottom w:val="none" w:sz="0" w:space="0" w:color="auto"/>
            <w:right w:val="none" w:sz="0" w:space="0" w:color="auto"/>
          </w:divBdr>
        </w:div>
        <w:div w:id="308025927">
          <w:marLeft w:val="0"/>
          <w:marRight w:val="0"/>
          <w:marTop w:val="0"/>
          <w:marBottom w:val="0"/>
          <w:divBdr>
            <w:top w:val="none" w:sz="0" w:space="0" w:color="auto"/>
            <w:left w:val="none" w:sz="0" w:space="0" w:color="auto"/>
            <w:bottom w:val="none" w:sz="0" w:space="0" w:color="auto"/>
            <w:right w:val="none" w:sz="0" w:space="0" w:color="auto"/>
          </w:divBdr>
        </w:div>
        <w:div w:id="380178352">
          <w:marLeft w:val="0"/>
          <w:marRight w:val="0"/>
          <w:marTop w:val="0"/>
          <w:marBottom w:val="0"/>
          <w:divBdr>
            <w:top w:val="none" w:sz="0" w:space="0" w:color="auto"/>
            <w:left w:val="none" w:sz="0" w:space="0" w:color="auto"/>
            <w:bottom w:val="none" w:sz="0" w:space="0" w:color="auto"/>
            <w:right w:val="none" w:sz="0" w:space="0" w:color="auto"/>
          </w:divBdr>
        </w:div>
        <w:div w:id="423918370">
          <w:marLeft w:val="0"/>
          <w:marRight w:val="0"/>
          <w:marTop w:val="0"/>
          <w:marBottom w:val="0"/>
          <w:divBdr>
            <w:top w:val="none" w:sz="0" w:space="0" w:color="auto"/>
            <w:left w:val="none" w:sz="0" w:space="0" w:color="auto"/>
            <w:bottom w:val="none" w:sz="0" w:space="0" w:color="auto"/>
            <w:right w:val="none" w:sz="0" w:space="0" w:color="auto"/>
          </w:divBdr>
        </w:div>
        <w:div w:id="526719325">
          <w:marLeft w:val="0"/>
          <w:marRight w:val="0"/>
          <w:marTop w:val="0"/>
          <w:marBottom w:val="0"/>
          <w:divBdr>
            <w:top w:val="none" w:sz="0" w:space="0" w:color="auto"/>
            <w:left w:val="none" w:sz="0" w:space="0" w:color="auto"/>
            <w:bottom w:val="none" w:sz="0" w:space="0" w:color="auto"/>
            <w:right w:val="none" w:sz="0" w:space="0" w:color="auto"/>
          </w:divBdr>
        </w:div>
        <w:div w:id="551618233">
          <w:marLeft w:val="0"/>
          <w:marRight w:val="0"/>
          <w:marTop w:val="0"/>
          <w:marBottom w:val="0"/>
          <w:divBdr>
            <w:top w:val="none" w:sz="0" w:space="0" w:color="auto"/>
            <w:left w:val="none" w:sz="0" w:space="0" w:color="auto"/>
            <w:bottom w:val="none" w:sz="0" w:space="0" w:color="auto"/>
            <w:right w:val="none" w:sz="0" w:space="0" w:color="auto"/>
          </w:divBdr>
        </w:div>
        <w:div w:id="774136119">
          <w:marLeft w:val="0"/>
          <w:marRight w:val="0"/>
          <w:marTop w:val="0"/>
          <w:marBottom w:val="0"/>
          <w:divBdr>
            <w:top w:val="none" w:sz="0" w:space="0" w:color="auto"/>
            <w:left w:val="none" w:sz="0" w:space="0" w:color="auto"/>
            <w:bottom w:val="none" w:sz="0" w:space="0" w:color="auto"/>
            <w:right w:val="none" w:sz="0" w:space="0" w:color="auto"/>
          </w:divBdr>
        </w:div>
        <w:div w:id="913588205">
          <w:marLeft w:val="0"/>
          <w:marRight w:val="0"/>
          <w:marTop w:val="0"/>
          <w:marBottom w:val="0"/>
          <w:divBdr>
            <w:top w:val="none" w:sz="0" w:space="0" w:color="auto"/>
            <w:left w:val="none" w:sz="0" w:space="0" w:color="auto"/>
            <w:bottom w:val="none" w:sz="0" w:space="0" w:color="auto"/>
            <w:right w:val="none" w:sz="0" w:space="0" w:color="auto"/>
          </w:divBdr>
        </w:div>
        <w:div w:id="927694198">
          <w:marLeft w:val="0"/>
          <w:marRight w:val="0"/>
          <w:marTop w:val="0"/>
          <w:marBottom w:val="0"/>
          <w:divBdr>
            <w:top w:val="none" w:sz="0" w:space="0" w:color="auto"/>
            <w:left w:val="none" w:sz="0" w:space="0" w:color="auto"/>
            <w:bottom w:val="none" w:sz="0" w:space="0" w:color="auto"/>
            <w:right w:val="none" w:sz="0" w:space="0" w:color="auto"/>
          </w:divBdr>
        </w:div>
        <w:div w:id="1022318984">
          <w:marLeft w:val="0"/>
          <w:marRight w:val="0"/>
          <w:marTop w:val="0"/>
          <w:marBottom w:val="0"/>
          <w:divBdr>
            <w:top w:val="none" w:sz="0" w:space="0" w:color="auto"/>
            <w:left w:val="none" w:sz="0" w:space="0" w:color="auto"/>
            <w:bottom w:val="none" w:sz="0" w:space="0" w:color="auto"/>
            <w:right w:val="none" w:sz="0" w:space="0" w:color="auto"/>
          </w:divBdr>
        </w:div>
        <w:div w:id="1024599588">
          <w:marLeft w:val="0"/>
          <w:marRight w:val="0"/>
          <w:marTop w:val="0"/>
          <w:marBottom w:val="0"/>
          <w:divBdr>
            <w:top w:val="none" w:sz="0" w:space="0" w:color="auto"/>
            <w:left w:val="none" w:sz="0" w:space="0" w:color="auto"/>
            <w:bottom w:val="none" w:sz="0" w:space="0" w:color="auto"/>
            <w:right w:val="none" w:sz="0" w:space="0" w:color="auto"/>
          </w:divBdr>
        </w:div>
        <w:div w:id="1173493167">
          <w:marLeft w:val="0"/>
          <w:marRight w:val="0"/>
          <w:marTop w:val="0"/>
          <w:marBottom w:val="0"/>
          <w:divBdr>
            <w:top w:val="none" w:sz="0" w:space="0" w:color="auto"/>
            <w:left w:val="none" w:sz="0" w:space="0" w:color="auto"/>
            <w:bottom w:val="none" w:sz="0" w:space="0" w:color="auto"/>
            <w:right w:val="none" w:sz="0" w:space="0" w:color="auto"/>
          </w:divBdr>
        </w:div>
        <w:div w:id="1182088033">
          <w:marLeft w:val="0"/>
          <w:marRight w:val="0"/>
          <w:marTop w:val="0"/>
          <w:marBottom w:val="0"/>
          <w:divBdr>
            <w:top w:val="none" w:sz="0" w:space="0" w:color="auto"/>
            <w:left w:val="none" w:sz="0" w:space="0" w:color="auto"/>
            <w:bottom w:val="none" w:sz="0" w:space="0" w:color="auto"/>
            <w:right w:val="none" w:sz="0" w:space="0" w:color="auto"/>
          </w:divBdr>
        </w:div>
        <w:div w:id="1574776519">
          <w:marLeft w:val="0"/>
          <w:marRight w:val="0"/>
          <w:marTop w:val="0"/>
          <w:marBottom w:val="0"/>
          <w:divBdr>
            <w:top w:val="none" w:sz="0" w:space="0" w:color="auto"/>
            <w:left w:val="none" w:sz="0" w:space="0" w:color="auto"/>
            <w:bottom w:val="none" w:sz="0" w:space="0" w:color="auto"/>
            <w:right w:val="none" w:sz="0" w:space="0" w:color="auto"/>
          </w:divBdr>
        </w:div>
        <w:div w:id="1732122006">
          <w:marLeft w:val="0"/>
          <w:marRight w:val="0"/>
          <w:marTop w:val="0"/>
          <w:marBottom w:val="0"/>
          <w:divBdr>
            <w:top w:val="none" w:sz="0" w:space="0" w:color="auto"/>
            <w:left w:val="none" w:sz="0" w:space="0" w:color="auto"/>
            <w:bottom w:val="none" w:sz="0" w:space="0" w:color="auto"/>
            <w:right w:val="none" w:sz="0" w:space="0" w:color="auto"/>
          </w:divBdr>
        </w:div>
        <w:div w:id="1747458021">
          <w:marLeft w:val="0"/>
          <w:marRight w:val="0"/>
          <w:marTop w:val="0"/>
          <w:marBottom w:val="0"/>
          <w:divBdr>
            <w:top w:val="none" w:sz="0" w:space="0" w:color="auto"/>
            <w:left w:val="none" w:sz="0" w:space="0" w:color="auto"/>
            <w:bottom w:val="none" w:sz="0" w:space="0" w:color="auto"/>
            <w:right w:val="none" w:sz="0" w:space="0" w:color="auto"/>
          </w:divBdr>
        </w:div>
        <w:div w:id="2043892786">
          <w:marLeft w:val="0"/>
          <w:marRight w:val="0"/>
          <w:marTop w:val="0"/>
          <w:marBottom w:val="0"/>
          <w:divBdr>
            <w:top w:val="none" w:sz="0" w:space="0" w:color="auto"/>
            <w:left w:val="none" w:sz="0" w:space="0" w:color="auto"/>
            <w:bottom w:val="none" w:sz="0" w:space="0" w:color="auto"/>
            <w:right w:val="none" w:sz="0" w:space="0" w:color="auto"/>
          </w:divBdr>
        </w:div>
        <w:div w:id="2097902878">
          <w:marLeft w:val="0"/>
          <w:marRight w:val="0"/>
          <w:marTop w:val="0"/>
          <w:marBottom w:val="0"/>
          <w:divBdr>
            <w:top w:val="none" w:sz="0" w:space="0" w:color="auto"/>
            <w:left w:val="none" w:sz="0" w:space="0" w:color="auto"/>
            <w:bottom w:val="none" w:sz="0" w:space="0" w:color="auto"/>
            <w:right w:val="none" w:sz="0" w:space="0" w:color="auto"/>
          </w:divBdr>
        </w:div>
      </w:divsChild>
    </w:div>
    <w:div w:id="1219363313">
      <w:bodyDiv w:val="1"/>
      <w:marLeft w:val="0"/>
      <w:marRight w:val="0"/>
      <w:marTop w:val="0"/>
      <w:marBottom w:val="0"/>
      <w:divBdr>
        <w:top w:val="none" w:sz="0" w:space="0" w:color="auto"/>
        <w:left w:val="none" w:sz="0" w:space="0" w:color="auto"/>
        <w:bottom w:val="none" w:sz="0" w:space="0" w:color="auto"/>
        <w:right w:val="none" w:sz="0" w:space="0" w:color="auto"/>
      </w:divBdr>
    </w:div>
    <w:div w:id="1233006916">
      <w:bodyDiv w:val="1"/>
      <w:marLeft w:val="0"/>
      <w:marRight w:val="0"/>
      <w:marTop w:val="0"/>
      <w:marBottom w:val="0"/>
      <w:divBdr>
        <w:top w:val="none" w:sz="0" w:space="0" w:color="auto"/>
        <w:left w:val="none" w:sz="0" w:space="0" w:color="auto"/>
        <w:bottom w:val="none" w:sz="0" w:space="0" w:color="auto"/>
        <w:right w:val="none" w:sz="0" w:space="0" w:color="auto"/>
      </w:divBdr>
    </w:div>
    <w:div w:id="1282371986">
      <w:bodyDiv w:val="1"/>
      <w:marLeft w:val="0"/>
      <w:marRight w:val="0"/>
      <w:marTop w:val="0"/>
      <w:marBottom w:val="0"/>
      <w:divBdr>
        <w:top w:val="none" w:sz="0" w:space="0" w:color="auto"/>
        <w:left w:val="none" w:sz="0" w:space="0" w:color="auto"/>
        <w:bottom w:val="none" w:sz="0" w:space="0" w:color="auto"/>
        <w:right w:val="none" w:sz="0" w:space="0" w:color="auto"/>
      </w:divBdr>
    </w:div>
    <w:div w:id="1287003322">
      <w:bodyDiv w:val="1"/>
      <w:marLeft w:val="0"/>
      <w:marRight w:val="0"/>
      <w:marTop w:val="0"/>
      <w:marBottom w:val="0"/>
      <w:divBdr>
        <w:top w:val="none" w:sz="0" w:space="0" w:color="auto"/>
        <w:left w:val="none" w:sz="0" w:space="0" w:color="auto"/>
        <w:bottom w:val="none" w:sz="0" w:space="0" w:color="auto"/>
        <w:right w:val="none" w:sz="0" w:space="0" w:color="auto"/>
      </w:divBdr>
    </w:div>
    <w:div w:id="1291479125">
      <w:bodyDiv w:val="1"/>
      <w:marLeft w:val="0"/>
      <w:marRight w:val="0"/>
      <w:marTop w:val="0"/>
      <w:marBottom w:val="0"/>
      <w:divBdr>
        <w:top w:val="none" w:sz="0" w:space="0" w:color="auto"/>
        <w:left w:val="none" w:sz="0" w:space="0" w:color="auto"/>
        <w:bottom w:val="none" w:sz="0" w:space="0" w:color="auto"/>
        <w:right w:val="none" w:sz="0" w:space="0" w:color="auto"/>
      </w:divBdr>
    </w:div>
    <w:div w:id="1313676737">
      <w:bodyDiv w:val="1"/>
      <w:marLeft w:val="0"/>
      <w:marRight w:val="0"/>
      <w:marTop w:val="0"/>
      <w:marBottom w:val="0"/>
      <w:divBdr>
        <w:top w:val="none" w:sz="0" w:space="0" w:color="auto"/>
        <w:left w:val="none" w:sz="0" w:space="0" w:color="auto"/>
        <w:bottom w:val="none" w:sz="0" w:space="0" w:color="auto"/>
        <w:right w:val="none" w:sz="0" w:space="0" w:color="auto"/>
      </w:divBdr>
    </w:div>
    <w:div w:id="1316226769">
      <w:bodyDiv w:val="1"/>
      <w:marLeft w:val="0"/>
      <w:marRight w:val="0"/>
      <w:marTop w:val="0"/>
      <w:marBottom w:val="0"/>
      <w:divBdr>
        <w:top w:val="none" w:sz="0" w:space="0" w:color="auto"/>
        <w:left w:val="none" w:sz="0" w:space="0" w:color="auto"/>
        <w:bottom w:val="none" w:sz="0" w:space="0" w:color="auto"/>
        <w:right w:val="none" w:sz="0" w:space="0" w:color="auto"/>
      </w:divBdr>
    </w:div>
    <w:div w:id="1328509979">
      <w:bodyDiv w:val="1"/>
      <w:marLeft w:val="0"/>
      <w:marRight w:val="0"/>
      <w:marTop w:val="0"/>
      <w:marBottom w:val="0"/>
      <w:divBdr>
        <w:top w:val="none" w:sz="0" w:space="0" w:color="auto"/>
        <w:left w:val="none" w:sz="0" w:space="0" w:color="auto"/>
        <w:bottom w:val="none" w:sz="0" w:space="0" w:color="auto"/>
        <w:right w:val="none" w:sz="0" w:space="0" w:color="auto"/>
      </w:divBdr>
    </w:div>
    <w:div w:id="1472870868">
      <w:bodyDiv w:val="1"/>
      <w:marLeft w:val="0"/>
      <w:marRight w:val="0"/>
      <w:marTop w:val="0"/>
      <w:marBottom w:val="0"/>
      <w:divBdr>
        <w:top w:val="none" w:sz="0" w:space="0" w:color="auto"/>
        <w:left w:val="none" w:sz="0" w:space="0" w:color="auto"/>
        <w:bottom w:val="none" w:sz="0" w:space="0" w:color="auto"/>
        <w:right w:val="none" w:sz="0" w:space="0" w:color="auto"/>
      </w:divBdr>
    </w:div>
    <w:div w:id="1474057374">
      <w:bodyDiv w:val="1"/>
      <w:marLeft w:val="0"/>
      <w:marRight w:val="0"/>
      <w:marTop w:val="0"/>
      <w:marBottom w:val="0"/>
      <w:divBdr>
        <w:top w:val="none" w:sz="0" w:space="0" w:color="auto"/>
        <w:left w:val="none" w:sz="0" w:space="0" w:color="auto"/>
        <w:bottom w:val="none" w:sz="0" w:space="0" w:color="auto"/>
        <w:right w:val="none" w:sz="0" w:space="0" w:color="auto"/>
      </w:divBdr>
    </w:div>
    <w:div w:id="1476485740">
      <w:bodyDiv w:val="1"/>
      <w:marLeft w:val="0"/>
      <w:marRight w:val="0"/>
      <w:marTop w:val="0"/>
      <w:marBottom w:val="0"/>
      <w:divBdr>
        <w:top w:val="none" w:sz="0" w:space="0" w:color="auto"/>
        <w:left w:val="none" w:sz="0" w:space="0" w:color="auto"/>
        <w:bottom w:val="none" w:sz="0" w:space="0" w:color="auto"/>
        <w:right w:val="none" w:sz="0" w:space="0" w:color="auto"/>
      </w:divBdr>
    </w:div>
    <w:div w:id="1520704117">
      <w:bodyDiv w:val="1"/>
      <w:marLeft w:val="0"/>
      <w:marRight w:val="0"/>
      <w:marTop w:val="0"/>
      <w:marBottom w:val="0"/>
      <w:divBdr>
        <w:top w:val="none" w:sz="0" w:space="0" w:color="auto"/>
        <w:left w:val="none" w:sz="0" w:space="0" w:color="auto"/>
        <w:bottom w:val="none" w:sz="0" w:space="0" w:color="auto"/>
        <w:right w:val="none" w:sz="0" w:space="0" w:color="auto"/>
      </w:divBdr>
    </w:div>
    <w:div w:id="1530996102">
      <w:bodyDiv w:val="1"/>
      <w:marLeft w:val="0"/>
      <w:marRight w:val="0"/>
      <w:marTop w:val="0"/>
      <w:marBottom w:val="0"/>
      <w:divBdr>
        <w:top w:val="none" w:sz="0" w:space="0" w:color="auto"/>
        <w:left w:val="none" w:sz="0" w:space="0" w:color="auto"/>
        <w:bottom w:val="none" w:sz="0" w:space="0" w:color="auto"/>
        <w:right w:val="none" w:sz="0" w:space="0" w:color="auto"/>
      </w:divBdr>
    </w:div>
    <w:div w:id="1567571319">
      <w:bodyDiv w:val="1"/>
      <w:marLeft w:val="0"/>
      <w:marRight w:val="0"/>
      <w:marTop w:val="0"/>
      <w:marBottom w:val="0"/>
      <w:divBdr>
        <w:top w:val="none" w:sz="0" w:space="0" w:color="auto"/>
        <w:left w:val="none" w:sz="0" w:space="0" w:color="auto"/>
        <w:bottom w:val="none" w:sz="0" w:space="0" w:color="auto"/>
        <w:right w:val="none" w:sz="0" w:space="0" w:color="auto"/>
      </w:divBdr>
    </w:div>
    <w:div w:id="1569341077">
      <w:bodyDiv w:val="1"/>
      <w:marLeft w:val="0"/>
      <w:marRight w:val="0"/>
      <w:marTop w:val="0"/>
      <w:marBottom w:val="0"/>
      <w:divBdr>
        <w:top w:val="none" w:sz="0" w:space="0" w:color="auto"/>
        <w:left w:val="none" w:sz="0" w:space="0" w:color="auto"/>
        <w:bottom w:val="none" w:sz="0" w:space="0" w:color="auto"/>
        <w:right w:val="none" w:sz="0" w:space="0" w:color="auto"/>
      </w:divBdr>
    </w:div>
    <w:div w:id="1581717914">
      <w:bodyDiv w:val="1"/>
      <w:marLeft w:val="0"/>
      <w:marRight w:val="0"/>
      <w:marTop w:val="0"/>
      <w:marBottom w:val="0"/>
      <w:divBdr>
        <w:top w:val="none" w:sz="0" w:space="0" w:color="auto"/>
        <w:left w:val="none" w:sz="0" w:space="0" w:color="auto"/>
        <w:bottom w:val="none" w:sz="0" w:space="0" w:color="auto"/>
        <w:right w:val="none" w:sz="0" w:space="0" w:color="auto"/>
      </w:divBdr>
    </w:div>
    <w:div w:id="1627849752">
      <w:bodyDiv w:val="1"/>
      <w:marLeft w:val="0"/>
      <w:marRight w:val="0"/>
      <w:marTop w:val="0"/>
      <w:marBottom w:val="0"/>
      <w:divBdr>
        <w:top w:val="none" w:sz="0" w:space="0" w:color="auto"/>
        <w:left w:val="none" w:sz="0" w:space="0" w:color="auto"/>
        <w:bottom w:val="none" w:sz="0" w:space="0" w:color="auto"/>
        <w:right w:val="none" w:sz="0" w:space="0" w:color="auto"/>
      </w:divBdr>
    </w:div>
    <w:div w:id="1713115212">
      <w:bodyDiv w:val="1"/>
      <w:marLeft w:val="0"/>
      <w:marRight w:val="0"/>
      <w:marTop w:val="0"/>
      <w:marBottom w:val="0"/>
      <w:divBdr>
        <w:top w:val="none" w:sz="0" w:space="0" w:color="auto"/>
        <w:left w:val="none" w:sz="0" w:space="0" w:color="auto"/>
        <w:bottom w:val="none" w:sz="0" w:space="0" w:color="auto"/>
        <w:right w:val="none" w:sz="0" w:space="0" w:color="auto"/>
      </w:divBdr>
    </w:div>
    <w:div w:id="1730884430">
      <w:bodyDiv w:val="1"/>
      <w:marLeft w:val="0"/>
      <w:marRight w:val="0"/>
      <w:marTop w:val="0"/>
      <w:marBottom w:val="0"/>
      <w:divBdr>
        <w:top w:val="none" w:sz="0" w:space="0" w:color="auto"/>
        <w:left w:val="none" w:sz="0" w:space="0" w:color="auto"/>
        <w:bottom w:val="none" w:sz="0" w:space="0" w:color="auto"/>
        <w:right w:val="none" w:sz="0" w:space="0" w:color="auto"/>
      </w:divBdr>
    </w:div>
    <w:div w:id="1787888379">
      <w:bodyDiv w:val="1"/>
      <w:marLeft w:val="0"/>
      <w:marRight w:val="0"/>
      <w:marTop w:val="0"/>
      <w:marBottom w:val="0"/>
      <w:divBdr>
        <w:top w:val="none" w:sz="0" w:space="0" w:color="auto"/>
        <w:left w:val="none" w:sz="0" w:space="0" w:color="auto"/>
        <w:bottom w:val="none" w:sz="0" w:space="0" w:color="auto"/>
        <w:right w:val="none" w:sz="0" w:space="0" w:color="auto"/>
      </w:divBdr>
      <w:divsChild>
        <w:div w:id="1110708021">
          <w:marLeft w:val="0"/>
          <w:marRight w:val="0"/>
          <w:marTop w:val="0"/>
          <w:marBottom w:val="0"/>
          <w:divBdr>
            <w:top w:val="none" w:sz="0" w:space="0" w:color="auto"/>
            <w:left w:val="none" w:sz="0" w:space="0" w:color="auto"/>
            <w:bottom w:val="none" w:sz="0" w:space="0" w:color="auto"/>
            <w:right w:val="none" w:sz="0" w:space="0" w:color="auto"/>
          </w:divBdr>
        </w:div>
        <w:div w:id="1957831077">
          <w:marLeft w:val="0"/>
          <w:marRight w:val="0"/>
          <w:marTop w:val="0"/>
          <w:marBottom w:val="0"/>
          <w:divBdr>
            <w:top w:val="none" w:sz="0" w:space="0" w:color="auto"/>
            <w:left w:val="none" w:sz="0" w:space="0" w:color="auto"/>
            <w:bottom w:val="none" w:sz="0" w:space="0" w:color="auto"/>
            <w:right w:val="none" w:sz="0" w:space="0" w:color="auto"/>
          </w:divBdr>
        </w:div>
      </w:divsChild>
    </w:div>
    <w:div w:id="1806964719">
      <w:bodyDiv w:val="1"/>
      <w:marLeft w:val="0"/>
      <w:marRight w:val="0"/>
      <w:marTop w:val="0"/>
      <w:marBottom w:val="0"/>
      <w:divBdr>
        <w:top w:val="none" w:sz="0" w:space="0" w:color="auto"/>
        <w:left w:val="none" w:sz="0" w:space="0" w:color="auto"/>
        <w:bottom w:val="none" w:sz="0" w:space="0" w:color="auto"/>
        <w:right w:val="none" w:sz="0" w:space="0" w:color="auto"/>
      </w:divBdr>
    </w:div>
    <w:div w:id="1833175254">
      <w:bodyDiv w:val="1"/>
      <w:marLeft w:val="0"/>
      <w:marRight w:val="0"/>
      <w:marTop w:val="0"/>
      <w:marBottom w:val="0"/>
      <w:divBdr>
        <w:top w:val="none" w:sz="0" w:space="0" w:color="auto"/>
        <w:left w:val="none" w:sz="0" w:space="0" w:color="auto"/>
        <w:bottom w:val="none" w:sz="0" w:space="0" w:color="auto"/>
        <w:right w:val="none" w:sz="0" w:space="0" w:color="auto"/>
      </w:divBdr>
    </w:div>
    <w:div w:id="1896238797">
      <w:bodyDiv w:val="1"/>
      <w:marLeft w:val="0"/>
      <w:marRight w:val="0"/>
      <w:marTop w:val="0"/>
      <w:marBottom w:val="0"/>
      <w:divBdr>
        <w:top w:val="none" w:sz="0" w:space="0" w:color="auto"/>
        <w:left w:val="none" w:sz="0" w:space="0" w:color="auto"/>
        <w:bottom w:val="none" w:sz="0" w:space="0" w:color="auto"/>
        <w:right w:val="none" w:sz="0" w:space="0" w:color="auto"/>
      </w:divBdr>
    </w:div>
    <w:div w:id="1917860851">
      <w:bodyDiv w:val="1"/>
      <w:marLeft w:val="0"/>
      <w:marRight w:val="0"/>
      <w:marTop w:val="0"/>
      <w:marBottom w:val="0"/>
      <w:divBdr>
        <w:top w:val="none" w:sz="0" w:space="0" w:color="auto"/>
        <w:left w:val="none" w:sz="0" w:space="0" w:color="auto"/>
        <w:bottom w:val="none" w:sz="0" w:space="0" w:color="auto"/>
        <w:right w:val="none" w:sz="0" w:space="0" w:color="auto"/>
      </w:divBdr>
    </w:div>
    <w:div w:id="1940599866">
      <w:bodyDiv w:val="1"/>
      <w:marLeft w:val="0"/>
      <w:marRight w:val="0"/>
      <w:marTop w:val="0"/>
      <w:marBottom w:val="0"/>
      <w:divBdr>
        <w:top w:val="none" w:sz="0" w:space="0" w:color="auto"/>
        <w:left w:val="none" w:sz="0" w:space="0" w:color="auto"/>
        <w:bottom w:val="none" w:sz="0" w:space="0" w:color="auto"/>
        <w:right w:val="none" w:sz="0" w:space="0" w:color="auto"/>
      </w:divBdr>
    </w:div>
    <w:div w:id="1955557910">
      <w:bodyDiv w:val="1"/>
      <w:marLeft w:val="0"/>
      <w:marRight w:val="0"/>
      <w:marTop w:val="0"/>
      <w:marBottom w:val="0"/>
      <w:divBdr>
        <w:top w:val="none" w:sz="0" w:space="0" w:color="auto"/>
        <w:left w:val="none" w:sz="0" w:space="0" w:color="auto"/>
        <w:bottom w:val="none" w:sz="0" w:space="0" w:color="auto"/>
        <w:right w:val="none" w:sz="0" w:space="0" w:color="auto"/>
      </w:divBdr>
    </w:div>
    <w:div w:id="1995793916">
      <w:bodyDiv w:val="1"/>
      <w:marLeft w:val="0"/>
      <w:marRight w:val="0"/>
      <w:marTop w:val="0"/>
      <w:marBottom w:val="0"/>
      <w:divBdr>
        <w:top w:val="none" w:sz="0" w:space="0" w:color="auto"/>
        <w:left w:val="none" w:sz="0" w:space="0" w:color="auto"/>
        <w:bottom w:val="none" w:sz="0" w:space="0" w:color="auto"/>
        <w:right w:val="none" w:sz="0" w:space="0" w:color="auto"/>
      </w:divBdr>
    </w:div>
    <w:div w:id="2007787058">
      <w:bodyDiv w:val="1"/>
      <w:marLeft w:val="0"/>
      <w:marRight w:val="0"/>
      <w:marTop w:val="0"/>
      <w:marBottom w:val="0"/>
      <w:divBdr>
        <w:top w:val="none" w:sz="0" w:space="0" w:color="auto"/>
        <w:left w:val="none" w:sz="0" w:space="0" w:color="auto"/>
        <w:bottom w:val="none" w:sz="0" w:space="0" w:color="auto"/>
        <w:right w:val="none" w:sz="0" w:space="0" w:color="auto"/>
      </w:divBdr>
    </w:div>
    <w:div w:id="2013684376">
      <w:bodyDiv w:val="1"/>
      <w:marLeft w:val="0"/>
      <w:marRight w:val="0"/>
      <w:marTop w:val="0"/>
      <w:marBottom w:val="0"/>
      <w:divBdr>
        <w:top w:val="none" w:sz="0" w:space="0" w:color="auto"/>
        <w:left w:val="none" w:sz="0" w:space="0" w:color="auto"/>
        <w:bottom w:val="none" w:sz="0" w:space="0" w:color="auto"/>
        <w:right w:val="none" w:sz="0" w:space="0" w:color="auto"/>
      </w:divBdr>
      <w:divsChild>
        <w:div w:id="239102776">
          <w:marLeft w:val="0"/>
          <w:marRight w:val="0"/>
          <w:marTop w:val="0"/>
          <w:marBottom w:val="0"/>
          <w:divBdr>
            <w:top w:val="none" w:sz="0" w:space="0" w:color="auto"/>
            <w:left w:val="none" w:sz="0" w:space="0" w:color="auto"/>
            <w:bottom w:val="none" w:sz="0" w:space="0" w:color="auto"/>
            <w:right w:val="none" w:sz="0" w:space="0" w:color="auto"/>
          </w:divBdr>
        </w:div>
      </w:divsChild>
    </w:div>
    <w:div w:id="2020159507">
      <w:bodyDiv w:val="1"/>
      <w:marLeft w:val="0"/>
      <w:marRight w:val="0"/>
      <w:marTop w:val="0"/>
      <w:marBottom w:val="0"/>
      <w:divBdr>
        <w:top w:val="none" w:sz="0" w:space="0" w:color="auto"/>
        <w:left w:val="none" w:sz="0" w:space="0" w:color="auto"/>
        <w:bottom w:val="none" w:sz="0" w:space="0" w:color="auto"/>
        <w:right w:val="none" w:sz="0" w:space="0" w:color="auto"/>
      </w:divBdr>
    </w:div>
    <w:div w:id="2049794855">
      <w:bodyDiv w:val="1"/>
      <w:marLeft w:val="0"/>
      <w:marRight w:val="0"/>
      <w:marTop w:val="0"/>
      <w:marBottom w:val="0"/>
      <w:divBdr>
        <w:top w:val="none" w:sz="0" w:space="0" w:color="auto"/>
        <w:left w:val="none" w:sz="0" w:space="0" w:color="auto"/>
        <w:bottom w:val="none" w:sz="0" w:space="0" w:color="auto"/>
        <w:right w:val="none" w:sz="0" w:space="0" w:color="auto"/>
      </w:divBdr>
    </w:div>
    <w:div w:id="2057118327">
      <w:bodyDiv w:val="1"/>
      <w:marLeft w:val="0"/>
      <w:marRight w:val="0"/>
      <w:marTop w:val="0"/>
      <w:marBottom w:val="0"/>
      <w:divBdr>
        <w:top w:val="none" w:sz="0" w:space="0" w:color="auto"/>
        <w:left w:val="none" w:sz="0" w:space="0" w:color="auto"/>
        <w:bottom w:val="none" w:sz="0" w:space="0" w:color="auto"/>
        <w:right w:val="none" w:sz="0" w:space="0" w:color="auto"/>
      </w:divBdr>
    </w:div>
    <w:div w:id="207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Baker Tilly Report - New">
      <a:dk1>
        <a:sysClr val="windowText" lastClr="000000"/>
      </a:dk1>
      <a:lt1>
        <a:sysClr val="window" lastClr="FFFFFF"/>
      </a:lt1>
      <a:dk2>
        <a:srgbClr val="717169"/>
      </a:dk2>
      <a:lt2>
        <a:srgbClr val="EDEDEB"/>
      </a:lt2>
      <a:accent1>
        <a:srgbClr val="319B42"/>
      </a:accent1>
      <a:accent2>
        <a:srgbClr val="25BAA7"/>
      </a:accent2>
      <a:accent3>
        <a:srgbClr val="3D7EDB"/>
      </a:accent3>
      <a:accent4>
        <a:srgbClr val="FF6C54"/>
      </a:accent4>
      <a:accent5>
        <a:srgbClr val="FFDC2A"/>
      </a:accent5>
      <a:accent6>
        <a:srgbClr val="717169"/>
      </a:accent6>
      <a:hlink>
        <a:srgbClr val="C9EC51"/>
      </a:hlink>
      <a:folHlink>
        <a:srgbClr val="319B4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1811-17CE-4E71-87F4-38503815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5951</Words>
  <Characters>33927</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39799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Seabury</dc:creator>
  <cp:lastModifiedBy>David L. Clark</cp:lastModifiedBy>
  <cp:revision>2</cp:revision>
  <dcterms:created xsi:type="dcterms:W3CDTF">2019-03-17T19:47:00Z</dcterms:created>
  <dcterms:modified xsi:type="dcterms:W3CDTF">2019-03-17T19:47:00Z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1083740815</vt:i4>
  </property>
</Properties>
</file>